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C164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34DEC8C2" w14:textId="39BE44ED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 xml:space="preserve">Številka: </w:t>
      </w:r>
      <w:r w:rsidR="005C5F3D">
        <w:rPr>
          <w:rFonts w:cs="Arial"/>
          <w:color w:val="000000"/>
          <w:spacing w:val="6"/>
          <w:sz w:val="22"/>
          <w:szCs w:val="22"/>
        </w:rPr>
        <w:t>410-62/2023-1</w:t>
      </w:r>
    </w:p>
    <w:p w14:paraId="61C8937D" w14:textId="118E658B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 xml:space="preserve">Datum: </w:t>
      </w:r>
      <w:r w:rsidR="005C5F3D">
        <w:rPr>
          <w:rFonts w:cs="Arial"/>
          <w:color w:val="000000"/>
          <w:spacing w:val="6"/>
          <w:sz w:val="22"/>
          <w:szCs w:val="22"/>
        </w:rPr>
        <w:t>7. 11. 2023</w:t>
      </w:r>
    </w:p>
    <w:p w14:paraId="66CF1A85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323940AD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5972F6F3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>OBČINA KOMEN</w:t>
      </w:r>
    </w:p>
    <w:p w14:paraId="2A78BAC5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>OBČINSKI SVET</w:t>
      </w:r>
    </w:p>
    <w:p w14:paraId="74A1E005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011C1276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2CFCE90C" w14:textId="77777777" w:rsidR="0006143B" w:rsidRPr="0006143B" w:rsidRDefault="0006143B" w:rsidP="0006143B">
      <w:pPr>
        <w:jc w:val="both"/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>Na podlagi 30. člena Statuta Občine Komen (Uradni list RS 80/09, 39/14 in 39/16) in 89. člena Poslovnika občinskega sveta Občine Komen (Uradni list RS, št. 80/09 in 39/14) predlagam občinskemu svetu Občine Komen v obravnavo in sprejem</w:t>
      </w:r>
    </w:p>
    <w:p w14:paraId="7D854354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7C74EE47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2CE60CA9" w14:textId="720E204D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>•</w:t>
      </w:r>
      <w:r w:rsidRPr="0006143B">
        <w:rPr>
          <w:rFonts w:cs="Arial"/>
          <w:color w:val="000000"/>
          <w:spacing w:val="6"/>
          <w:sz w:val="22"/>
          <w:szCs w:val="22"/>
        </w:rPr>
        <w:tab/>
        <w:t>PREDLOG PRORAČUNA OBČINE KOMEN ZA LETO 202</w:t>
      </w:r>
      <w:r>
        <w:rPr>
          <w:rFonts w:cs="Arial"/>
          <w:color w:val="000000"/>
          <w:spacing w:val="6"/>
          <w:sz w:val="22"/>
          <w:szCs w:val="22"/>
        </w:rPr>
        <w:t>4</w:t>
      </w:r>
    </w:p>
    <w:p w14:paraId="10807468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2AFE786C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7F5E9B60" w14:textId="77777777" w:rsid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>O b r a z l o ž i t e v :</w:t>
      </w:r>
    </w:p>
    <w:p w14:paraId="72CC0B1C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6B7BB167" w14:textId="75798B51" w:rsidR="0006143B" w:rsidRPr="0006143B" w:rsidRDefault="0006143B" w:rsidP="0006143B">
      <w:pPr>
        <w:jc w:val="both"/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>Na podlagi 89. člena Poslovnika Občinskega sveta Občine Komen vlagam Predlog proračuna Občine Komen za leto 202</w:t>
      </w:r>
      <w:r>
        <w:rPr>
          <w:rFonts w:cs="Arial"/>
          <w:color w:val="000000"/>
          <w:spacing w:val="6"/>
          <w:sz w:val="22"/>
          <w:szCs w:val="22"/>
        </w:rPr>
        <w:t>4</w:t>
      </w:r>
      <w:r w:rsidRPr="0006143B">
        <w:rPr>
          <w:rFonts w:cs="Arial"/>
          <w:color w:val="000000"/>
          <w:spacing w:val="6"/>
          <w:sz w:val="22"/>
          <w:szCs w:val="22"/>
        </w:rPr>
        <w:t xml:space="preserve">. </w:t>
      </w:r>
    </w:p>
    <w:p w14:paraId="03519C41" w14:textId="77777777" w:rsidR="0006143B" w:rsidRPr="0006143B" w:rsidRDefault="0006143B" w:rsidP="0006143B">
      <w:pPr>
        <w:jc w:val="both"/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>S tem dnem začnejo teči roki za posamezna dejanja v postopku sprejemanja proračuna, kot so navedeni v Poslovniku.</w:t>
      </w:r>
    </w:p>
    <w:p w14:paraId="6CE42960" w14:textId="77777777" w:rsidR="0006143B" w:rsidRPr="0006143B" w:rsidRDefault="0006143B" w:rsidP="0006143B">
      <w:pPr>
        <w:jc w:val="both"/>
        <w:rPr>
          <w:rFonts w:cs="Arial"/>
          <w:color w:val="000000"/>
          <w:spacing w:val="6"/>
          <w:sz w:val="22"/>
          <w:szCs w:val="22"/>
        </w:rPr>
      </w:pPr>
    </w:p>
    <w:p w14:paraId="0AAE4C15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5BA97E78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1065AE51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27DD2268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>Pripravili:</w:t>
      </w:r>
    </w:p>
    <w:p w14:paraId="697DC679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>-</w:t>
      </w:r>
      <w:r w:rsidRPr="0006143B">
        <w:rPr>
          <w:rFonts w:cs="Arial"/>
          <w:color w:val="000000"/>
          <w:spacing w:val="6"/>
          <w:sz w:val="22"/>
          <w:szCs w:val="22"/>
        </w:rPr>
        <w:tab/>
        <w:t>uslužbenci občinske uprave</w:t>
      </w:r>
      <w:r w:rsidRPr="0006143B">
        <w:rPr>
          <w:rFonts w:cs="Arial"/>
          <w:color w:val="000000"/>
          <w:spacing w:val="6"/>
          <w:sz w:val="22"/>
          <w:szCs w:val="22"/>
        </w:rPr>
        <w:tab/>
      </w:r>
    </w:p>
    <w:p w14:paraId="1933EFDE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ab/>
      </w:r>
    </w:p>
    <w:p w14:paraId="7885DE4D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42AE3B31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31218D29" w14:textId="77777777" w:rsidR="0006143B" w:rsidRPr="0006143B" w:rsidRDefault="0006143B" w:rsidP="0006143B">
      <w:pPr>
        <w:rPr>
          <w:rFonts w:cs="Arial"/>
          <w:color w:val="000000"/>
          <w:spacing w:val="6"/>
          <w:sz w:val="22"/>
          <w:szCs w:val="22"/>
        </w:rPr>
      </w:pPr>
    </w:p>
    <w:p w14:paraId="6F3126DF" w14:textId="77777777" w:rsidR="0006143B" w:rsidRPr="0006143B" w:rsidRDefault="0006143B" w:rsidP="00A9087D">
      <w:pPr>
        <w:ind w:left="5664" w:firstLine="708"/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>Mag. ERIK MODIC</w:t>
      </w:r>
    </w:p>
    <w:p w14:paraId="4B4F4B7D" w14:textId="4BAD3611" w:rsidR="00BA2BF5" w:rsidRDefault="0006143B" w:rsidP="00A9087D">
      <w:pPr>
        <w:ind w:left="6372" w:firstLine="708"/>
        <w:rPr>
          <w:rFonts w:cs="Arial"/>
          <w:color w:val="000000"/>
          <w:spacing w:val="6"/>
          <w:sz w:val="22"/>
          <w:szCs w:val="22"/>
        </w:rPr>
      </w:pPr>
      <w:r w:rsidRPr="0006143B">
        <w:rPr>
          <w:rFonts w:cs="Arial"/>
          <w:color w:val="000000"/>
          <w:spacing w:val="6"/>
          <w:sz w:val="22"/>
          <w:szCs w:val="22"/>
        </w:rPr>
        <w:t>župan</w:t>
      </w:r>
    </w:p>
    <w:sectPr w:rsidR="00BA2BF5" w:rsidSect="00582230">
      <w:footerReference w:type="default" r:id="rId7"/>
      <w:headerReference w:type="first" r:id="rId8"/>
      <w:footerReference w:type="first" r:id="rId9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94AE" w14:textId="77777777" w:rsidR="00A746DE" w:rsidRDefault="00A746DE" w:rsidP="00A746DE">
      <w:r>
        <w:separator/>
      </w:r>
    </w:p>
  </w:endnote>
  <w:endnote w:type="continuationSeparator" w:id="0">
    <w:p w14:paraId="6B5768BB" w14:textId="77777777" w:rsidR="00A746DE" w:rsidRDefault="00A746DE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8B0EF1" w14:textId="77777777" w:rsidR="00632704" w:rsidRPr="00632704" w:rsidRDefault="00632704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5E3F94">
              <w:rPr>
                <w:b/>
                <w:bCs/>
                <w:noProof/>
                <w:sz w:val="16"/>
                <w:szCs w:val="16"/>
              </w:rPr>
              <w:t>7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5E3F94">
              <w:rPr>
                <w:b/>
                <w:bCs/>
                <w:noProof/>
                <w:sz w:val="16"/>
                <w:szCs w:val="16"/>
              </w:rPr>
              <w:t>7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C91A34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1BC6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115D5D8A" w14:textId="77777777" w:rsidR="00FA5A47" w:rsidRPr="00582230" w:rsidRDefault="00FA5A47" w:rsidP="00CA6239">
    <w:pPr>
      <w:pStyle w:val="Noga"/>
      <w:rPr>
        <w:sz w:val="4"/>
        <w:szCs w:val="4"/>
      </w:rPr>
    </w:pPr>
  </w:p>
  <w:p w14:paraId="45DA3A7E" w14:textId="77777777" w:rsidR="00FA5A47" w:rsidRPr="0006143B" w:rsidRDefault="00FA5A47" w:rsidP="00350D1C">
    <w:pPr>
      <w:pStyle w:val="Noga"/>
      <w:jc w:val="center"/>
      <w:rPr>
        <w:rFonts w:cs="Arial"/>
        <w:sz w:val="17"/>
        <w:szCs w:val="17"/>
        <w:lang w:val="de-DE"/>
      </w:rPr>
    </w:pPr>
    <w:r w:rsidRPr="0006143B">
      <w:rPr>
        <w:rFonts w:cs="Arial"/>
        <w:sz w:val="17"/>
        <w:szCs w:val="17"/>
        <w:lang w:val="de-DE"/>
      </w:rPr>
      <w:t>Komen 86, 6223 Komen</w:t>
    </w:r>
  </w:p>
  <w:p w14:paraId="6002D8ED" w14:textId="77777777" w:rsidR="00FA5A47" w:rsidRPr="0006143B" w:rsidRDefault="003C4859" w:rsidP="00FA5A47">
    <w:pPr>
      <w:pStyle w:val="Noga"/>
      <w:jc w:val="center"/>
      <w:rPr>
        <w:rFonts w:cs="Arial"/>
        <w:sz w:val="17"/>
        <w:szCs w:val="17"/>
        <w:lang w:val="de-DE"/>
      </w:rPr>
    </w:pPr>
    <w:r w:rsidRPr="0006143B">
      <w:rPr>
        <w:rFonts w:cs="Arial"/>
        <w:sz w:val="17"/>
        <w:szCs w:val="17"/>
        <w:lang w:val="de-DE"/>
      </w:rPr>
      <w:t>t</w:t>
    </w:r>
    <w:r w:rsidR="00FA5A47" w:rsidRPr="0006143B">
      <w:rPr>
        <w:rFonts w:cs="Arial"/>
        <w:sz w:val="17"/>
        <w:szCs w:val="17"/>
        <w:lang w:val="de-DE"/>
      </w:rPr>
      <w:t>elefon: 05 7310 450, www.komen.si, e-pošta: obcina@komen.si</w:t>
    </w:r>
  </w:p>
  <w:p w14:paraId="6848DE2D" w14:textId="77777777" w:rsidR="00FA5A47" w:rsidRPr="0006143B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de-DE"/>
      </w:rPr>
    </w:pPr>
    <w:r w:rsidRPr="0006143B">
      <w:rPr>
        <w:rFonts w:cs="Arial"/>
        <w:sz w:val="17"/>
        <w:szCs w:val="17"/>
        <w:lang w:val="de-DE"/>
      </w:rPr>
      <w:tab/>
    </w:r>
    <w:r w:rsidRPr="0006143B">
      <w:rPr>
        <w:rFonts w:cs="Arial"/>
        <w:sz w:val="17"/>
        <w:szCs w:val="17"/>
        <w:lang w:val="de-DE"/>
      </w:rPr>
      <w:tab/>
      <w:t>ID za DDV: SI98324390, MŠ: 5883091, EZR: 01249-0100006231</w:t>
    </w:r>
  </w:p>
  <w:p w14:paraId="4E805BA2" w14:textId="77777777" w:rsidR="00FA5A47" w:rsidRDefault="00FA5A47" w:rsidP="00CA6239">
    <w:pPr>
      <w:pStyle w:val="Noga"/>
      <w:rPr>
        <w:sz w:val="2"/>
        <w:szCs w:val="2"/>
      </w:rPr>
    </w:pPr>
  </w:p>
  <w:p w14:paraId="2D483649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87C6" w14:textId="77777777" w:rsidR="00A746DE" w:rsidRDefault="00A746DE" w:rsidP="00A746DE">
      <w:r>
        <w:separator/>
      </w:r>
    </w:p>
  </w:footnote>
  <w:footnote w:type="continuationSeparator" w:id="0">
    <w:p w14:paraId="6B26690C" w14:textId="77777777" w:rsidR="00A746DE" w:rsidRDefault="00A746DE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14:paraId="41830528" w14:textId="77777777" w:rsidTr="00E66F13">
      <w:trPr>
        <w:trHeight w:val="567"/>
      </w:trPr>
      <w:tc>
        <w:tcPr>
          <w:tcW w:w="2160" w:type="dxa"/>
        </w:tcPr>
        <w:p w14:paraId="043D5F70" w14:textId="77777777"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5AF703E6" wp14:editId="515D7DAC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14:paraId="2467FE1B" w14:textId="77777777" w:rsidTr="00E66F13">
      <w:tc>
        <w:tcPr>
          <w:tcW w:w="2160" w:type="dxa"/>
        </w:tcPr>
        <w:p w14:paraId="5A69B595" w14:textId="77777777"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14:paraId="4D73D382" w14:textId="77777777" w:rsidTr="00E66F13">
      <w:tc>
        <w:tcPr>
          <w:tcW w:w="2160" w:type="dxa"/>
        </w:tcPr>
        <w:p w14:paraId="448C17A4" w14:textId="77777777" w:rsidR="00A746DE" w:rsidRPr="00217B5D" w:rsidRDefault="00BD6327" w:rsidP="00A746DE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župan</w:t>
          </w:r>
        </w:p>
      </w:tc>
    </w:tr>
  </w:tbl>
  <w:p w14:paraId="6F85EF66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752C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E5B73"/>
    <w:multiLevelType w:val="hybridMultilevel"/>
    <w:tmpl w:val="B7CA7736"/>
    <w:lvl w:ilvl="0" w:tplc="7F26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D6020"/>
    <w:multiLevelType w:val="hybridMultilevel"/>
    <w:tmpl w:val="D35E6AC8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209A"/>
    <w:multiLevelType w:val="hybridMultilevel"/>
    <w:tmpl w:val="5B02E8C6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12603"/>
    <w:multiLevelType w:val="hybridMultilevel"/>
    <w:tmpl w:val="F14EF662"/>
    <w:lvl w:ilvl="0" w:tplc="AC12B0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28CC"/>
    <w:multiLevelType w:val="hybridMultilevel"/>
    <w:tmpl w:val="8A5ED76E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F0CFF"/>
    <w:multiLevelType w:val="hybridMultilevel"/>
    <w:tmpl w:val="89F03B6C"/>
    <w:lvl w:ilvl="0" w:tplc="76EE00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73FA"/>
    <w:multiLevelType w:val="hybridMultilevel"/>
    <w:tmpl w:val="2FCAB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E6FA9"/>
    <w:multiLevelType w:val="hybridMultilevel"/>
    <w:tmpl w:val="F7D6559E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065F5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138136">
    <w:abstractNumId w:val="6"/>
  </w:num>
  <w:num w:numId="2" w16cid:durableId="567224844">
    <w:abstractNumId w:val="3"/>
  </w:num>
  <w:num w:numId="3" w16cid:durableId="1311979966">
    <w:abstractNumId w:val="1"/>
  </w:num>
  <w:num w:numId="4" w16cid:durableId="1929268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435628">
    <w:abstractNumId w:val="0"/>
  </w:num>
  <w:num w:numId="6" w16cid:durableId="1313949217">
    <w:abstractNumId w:val="8"/>
  </w:num>
  <w:num w:numId="7" w16cid:durableId="493617330">
    <w:abstractNumId w:val="9"/>
  </w:num>
  <w:num w:numId="8" w16cid:durableId="302851052">
    <w:abstractNumId w:val="2"/>
  </w:num>
  <w:num w:numId="9" w16cid:durableId="2090616616">
    <w:abstractNumId w:val="7"/>
  </w:num>
  <w:num w:numId="10" w16cid:durableId="7028781">
    <w:abstractNumId w:val="5"/>
  </w:num>
  <w:num w:numId="11" w16cid:durableId="1050417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6143B"/>
    <w:rsid w:val="00092BAA"/>
    <w:rsid w:val="00172FB7"/>
    <w:rsid w:val="001A35C5"/>
    <w:rsid w:val="00217B5D"/>
    <w:rsid w:val="002B53D8"/>
    <w:rsid w:val="00350D1C"/>
    <w:rsid w:val="003B0468"/>
    <w:rsid w:val="003C4859"/>
    <w:rsid w:val="003E2944"/>
    <w:rsid w:val="004508E3"/>
    <w:rsid w:val="00582230"/>
    <w:rsid w:val="005C1EDE"/>
    <w:rsid w:val="005C5F3D"/>
    <w:rsid w:val="005E3F94"/>
    <w:rsid w:val="006061AF"/>
    <w:rsid w:val="00632704"/>
    <w:rsid w:val="00637350"/>
    <w:rsid w:val="006A2716"/>
    <w:rsid w:val="007A1825"/>
    <w:rsid w:val="00810740"/>
    <w:rsid w:val="00962F6F"/>
    <w:rsid w:val="00A2336D"/>
    <w:rsid w:val="00A746DE"/>
    <w:rsid w:val="00A9087D"/>
    <w:rsid w:val="00AB26EF"/>
    <w:rsid w:val="00B843EA"/>
    <w:rsid w:val="00BA2BF5"/>
    <w:rsid w:val="00BD6327"/>
    <w:rsid w:val="00CA40B5"/>
    <w:rsid w:val="00CA6239"/>
    <w:rsid w:val="00F85E76"/>
    <w:rsid w:val="00F919A3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0B68E1F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092BAA"/>
    <w:pPr>
      <w:jc w:val="both"/>
    </w:pPr>
    <w:rPr>
      <w:rFonts w:ascii="Times New Roman" w:hAnsi="Times New Roman"/>
    </w:rPr>
  </w:style>
  <w:style w:type="character" w:customStyle="1" w:styleId="TelobesedilaZnak">
    <w:name w:val="Telo besedila Znak"/>
    <w:basedOn w:val="Privzetapisavaodstavka"/>
    <w:link w:val="Telobesedila"/>
    <w:semiHidden/>
    <w:rsid w:val="00092BA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Anita Tement</cp:lastModifiedBy>
  <cp:revision>4</cp:revision>
  <cp:lastPrinted>2023-11-07T13:00:00Z</cp:lastPrinted>
  <dcterms:created xsi:type="dcterms:W3CDTF">2023-11-07T12:18:00Z</dcterms:created>
  <dcterms:modified xsi:type="dcterms:W3CDTF">2023-11-07T13:15:00Z</dcterms:modified>
</cp:coreProperties>
</file>