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61E6" w14:textId="77777777" w:rsidR="00A746DE" w:rsidRPr="00C923D3" w:rsidRDefault="00A746DE" w:rsidP="00C923D3">
      <w:pPr>
        <w:pStyle w:val="Brezrazmikov"/>
        <w:rPr>
          <w:rFonts w:ascii="Arial" w:hAnsi="Arial" w:cs="Arial"/>
        </w:rPr>
      </w:pPr>
    </w:p>
    <w:p w14:paraId="19CF73A9" w14:textId="77777777" w:rsidR="001B1730" w:rsidRPr="0050175B" w:rsidRDefault="00FC28BF" w:rsidP="00C923D3">
      <w:pPr>
        <w:jc w:val="both"/>
        <w:rPr>
          <w:rFonts w:cs="Arial"/>
          <w:sz w:val="22"/>
          <w:szCs w:val="22"/>
        </w:rPr>
      </w:pPr>
      <w:r w:rsidRPr="0050175B">
        <w:rPr>
          <w:rFonts w:cs="Arial"/>
          <w:sz w:val="22"/>
          <w:szCs w:val="22"/>
        </w:rPr>
        <w:t xml:space="preserve">Številka: 031-0002/2025-2 </w:t>
      </w:r>
      <w:r w:rsidRPr="0050175B">
        <w:rPr>
          <w:rFonts w:cs="Arial"/>
          <w:sz w:val="22"/>
          <w:szCs w:val="22"/>
        </w:rPr>
        <w:tab/>
      </w:r>
    </w:p>
    <w:p w14:paraId="4694E2ED" w14:textId="77777777" w:rsidR="001B1730" w:rsidRPr="0050175B" w:rsidRDefault="00FC28BF" w:rsidP="00C923D3">
      <w:pPr>
        <w:jc w:val="both"/>
        <w:rPr>
          <w:rFonts w:cs="Arial"/>
          <w:sz w:val="22"/>
          <w:szCs w:val="22"/>
        </w:rPr>
      </w:pPr>
      <w:r w:rsidRPr="0050175B">
        <w:rPr>
          <w:rFonts w:cs="Arial"/>
          <w:sz w:val="22"/>
          <w:szCs w:val="22"/>
        </w:rPr>
        <w:t xml:space="preserve">Datum: 14. 5. 2025    </w:t>
      </w:r>
      <w:r w:rsidRPr="0050175B">
        <w:rPr>
          <w:rFonts w:cs="Arial"/>
          <w:sz w:val="22"/>
          <w:szCs w:val="22"/>
        </w:rPr>
        <w:tab/>
      </w:r>
    </w:p>
    <w:p w14:paraId="1C530F3E" w14:textId="77777777" w:rsidR="001B1730" w:rsidRPr="0050175B" w:rsidRDefault="001B1730" w:rsidP="00B6776E">
      <w:pPr>
        <w:jc w:val="both"/>
        <w:rPr>
          <w:rFonts w:cs="Arial"/>
          <w:sz w:val="22"/>
          <w:szCs w:val="22"/>
        </w:rPr>
      </w:pPr>
    </w:p>
    <w:p w14:paraId="09DB1630" w14:textId="77777777" w:rsidR="005509EA" w:rsidRPr="00740C5C" w:rsidRDefault="005509EA" w:rsidP="005509EA">
      <w:pPr>
        <w:pStyle w:val="Brezrazmikov"/>
        <w:rPr>
          <w:rFonts w:ascii="Arial" w:hAnsi="Arial" w:cs="Arial"/>
          <w:b/>
          <w:bCs/>
        </w:rPr>
      </w:pPr>
      <w:r w:rsidRPr="00740C5C">
        <w:rPr>
          <w:rFonts w:ascii="Arial" w:hAnsi="Arial" w:cs="Arial"/>
          <w:b/>
          <w:bCs/>
        </w:rPr>
        <w:t>OBČINA KOMEN</w:t>
      </w:r>
    </w:p>
    <w:p w14:paraId="34EED966" w14:textId="77777777" w:rsidR="005509EA" w:rsidRPr="00740C5C" w:rsidRDefault="005509EA" w:rsidP="005509EA">
      <w:pPr>
        <w:pStyle w:val="Brezrazmikov"/>
        <w:rPr>
          <w:rFonts w:ascii="Arial" w:hAnsi="Arial" w:cs="Arial"/>
          <w:b/>
          <w:bCs/>
        </w:rPr>
      </w:pPr>
      <w:r w:rsidRPr="00740C5C">
        <w:rPr>
          <w:rFonts w:ascii="Arial" w:hAnsi="Arial" w:cs="Arial"/>
          <w:b/>
          <w:bCs/>
        </w:rPr>
        <w:t>OBČINSKI SVET</w:t>
      </w:r>
    </w:p>
    <w:p w14:paraId="4A16ED1B" w14:textId="77777777" w:rsidR="005509EA" w:rsidRDefault="005509EA" w:rsidP="005509EA">
      <w:pPr>
        <w:pStyle w:val="Brezrazmikov"/>
        <w:rPr>
          <w:rFonts w:ascii="Arial" w:hAnsi="Arial" w:cs="Arial"/>
        </w:rPr>
      </w:pPr>
    </w:p>
    <w:p w14:paraId="6C92F07C" w14:textId="77777777" w:rsidR="005509EA" w:rsidRPr="00740C5C" w:rsidRDefault="005509EA" w:rsidP="005509EA">
      <w:pPr>
        <w:pStyle w:val="Brezrazmikov"/>
        <w:rPr>
          <w:rFonts w:ascii="Arial" w:hAnsi="Arial" w:cs="Arial"/>
        </w:rPr>
      </w:pPr>
    </w:p>
    <w:p w14:paraId="5C20B06B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</w:rPr>
      </w:pPr>
      <w:r w:rsidRPr="00740C5C">
        <w:rPr>
          <w:rFonts w:ascii="Arial" w:hAnsi="Arial" w:cs="Arial"/>
        </w:rPr>
        <w:t xml:space="preserve">Na podlagi 30. člena Statuta Občine Komen (Uradni list RS, št. 80/09, 39/14, 39/16) vam pošiljam v obravnavo in sprejem </w:t>
      </w:r>
    </w:p>
    <w:p w14:paraId="6D1CDDF2" w14:textId="77777777" w:rsidR="005509EA" w:rsidRDefault="005509EA" w:rsidP="005509EA">
      <w:pPr>
        <w:pStyle w:val="Brezrazmikov"/>
        <w:rPr>
          <w:rFonts w:ascii="Arial" w:hAnsi="Arial" w:cs="Arial"/>
        </w:rPr>
      </w:pPr>
    </w:p>
    <w:p w14:paraId="077B8E65" w14:textId="77777777" w:rsidR="005509EA" w:rsidRPr="00740C5C" w:rsidRDefault="005509EA" w:rsidP="005509EA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740C5C">
        <w:rPr>
          <w:rFonts w:ascii="Arial" w:hAnsi="Arial" w:cs="Arial"/>
          <w:b/>
        </w:rPr>
        <w:t xml:space="preserve">Predlog sklepa o sklenitvi sporazuma o pobratenju </w:t>
      </w:r>
      <w:r>
        <w:rPr>
          <w:rFonts w:ascii="Arial" w:hAnsi="Arial" w:cs="Arial"/>
          <w:b/>
        </w:rPr>
        <w:t xml:space="preserve">med </w:t>
      </w:r>
      <w:r w:rsidRPr="00740C5C">
        <w:rPr>
          <w:rFonts w:ascii="Arial" w:hAnsi="Arial" w:cs="Arial"/>
          <w:b/>
        </w:rPr>
        <w:t>Občin</w:t>
      </w:r>
      <w:r>
        <w:rPr>
          <w:rFonts w:ascii="Arial" w:hAnsi="Arial" w:cs="Arial"/>
          <w:b/>
        </w:rPr>
        <w:t>o</w:t>
      </w:r>
      <w:r w:rsidRPr="00740C5C">
        <w:rPr>
          <w:rFonts w:ascii="Arial" w:hAnsi="Arial" w:cs="Arial"/>
          <w:b/>
        </w:rPr>
        <w:t xml:space="preserve"> Komen in Občin</w:t>
      </w:r>
      <w:r>
        <w:rPr>
          <w:rFonts w:ascii="Arial" w:hAnsi="Arial" w:cs="Arial"/>
          <w:b/>
        </w:rPr>
        <w:t>o</w:t>
      </w:r>
      <w:r w:rsidRPr="00740C5C">
        <w:rPr>
          <w:rFonts w:ascii="Arial" w:hAnsi="Arial" w:cs="Arial"/>
          <w:b/>
        </w:rPr>
        <w:t xml:space="preserve"> </w:t>
      </w:r>
      <w:proofErr w:type="spellStart"/>
      <w:r w:rsidRPr="00132437">
        <w:rPr>
          <w:rFonts w:ascii="Arial" w:hAnsi="Arial" w:cs="Arial"/>
          <w:b/>
        </w:rPr>
        <w:t>Dürnstein</w:t>
      </w:r>
      <w:proofErr w:type="spellEnd"/>
    </w:p>
    <w:p w14:paraId="2A126760" w14:textId="77777777" w:rsidR="005509EA" w:rsidRPr="00740C5C" w:rsidRDefault="005509EA" w:rsidP="005509EA">
      <w:pPr>
        <w:pStyle w:val="Brezrazmikov"/>
        <w:rPr>
          <w:rFonts w:ascii="Arial" w:hAnsi="Arial" w:cs="Arial"/>
          <w:b/>
        </w:rPr>
      </w:pPr>
    </w:p>
    <w:p w14:paraId="1F148792" w14:textId="77777777" w:rsidR="005509EA" w:rsidRPr="00740C5C" w:rsidRDefault="005509EA" w:rsidP="005509EA">
      <w:pPr>
        <w:pStyle w:val="Brezrazmikov"/>
        <w:rPr>
          <w:rFonts w:ascii="Arial" w:hAnsi="Arial" w:cs="Arial"/>
          <w:b/>
        </w:rPr>
      </w:pPr>
      <w:r w:rsidRPr="00740C5C">
        <w:rPr>
          <w:rFonts w:ascii="Arial" w:hAnsi="Arial" w:cs="Arial"/>
          <w:b/>
        </w:rPr>
        <w:t>Obrazložitev:</w:t>
      </w:r>
    </w:p>
    <w:p w14:paraId="71A1C0A1" w14:textId="77777777" w:rsidR="005509EA" w:rsidRP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  <w:proofErr w:type="spellStart"/>
      <w:r w:rsidRPr="005509EA">
        <w:rPr>
          <w:rFonts w:ascii="Arial" w:hAnsi="Arial" w:cs="Arial"/>
        </w:rPr>
        <w:t>Dürnstein</w:t>
      </w:r>
      <w:proofErr w:type="spellEnd"/>
      <w:r w:rsidRPr="005509EA">
        <w:rPr>
          <w:rFonts w:ascii="Arial" w:hAnsi="Arial" w:cs="Arial"/>
        </w:rPr>
        <w:t xml:space="preserve"> je slikovita avstrijska občina, ki leži v dolini </w:t>
      </w:r>
      <w:proofErr w:type="spellStart"/>
      <w:r w:rsidRPr="005509EA">
        <w:rPr>
          <w:rFonts w:ascii="Arial" w:hAnsi="Arial" w:cs="Arial"/>
        </w:rPr>
        <w:t>Wachau</w:t>
      </w:r>
      <w:proofErr w:type="spellEnd"/>
      <w:r w:rsidRPr="005509EA">
        <w:rPr>
          <w:rFonts w:ascii="Arial" w:hAnsi="Arial" w:cs="Arial"/>
        </w:rPr>
        <w:t xml:space="preserve"> ob reki Donavi v zvezni deželi Spodnja Avstrija. Znana je po svoji baročni cerkvi z modrim zvonikom, ki je ena najbolj prepoznavnih podob doline </w:t>
      </w:r>
      <w:proofErr w:type="spellStart"/>
      <w:r w:rsidRPr="005509EA">
        <w:rPr>
          <w:rFonts w:ascii="Arial" w:hAnsi="Arial" w:cs="Arial"/>
        </w:rPr>
        <w:t>Wachau</w:t>
      </w:r>
      <w:proofErr w:type="spellEnd"/>
      <w:r w:rsidRPr="005509EA">
        <w:rPr>
          <w:rFonts w:ascii="Arial" w:hAnsi="Arial" w:cs="Arial"/>
        </w:rPr>
        <w:t xml:space="preserve">. Nad mestecem se dvigajo razvaline gradu </w:t>
      </w:r>
      <w:proofErr w:type="spellStart"/>
      <w:r w:rsidRPr="005509EA">
        <w:rPr>
          <w:rFonts w:ascii="Arial" w:hAnsi="Arial" w:cs="Arial"/>
        </w:rPr>
        <w:t>Dürnstein</w:t>
      </w:r>
      <w:proofErr w:type="spellEnd"/>
      <w:r w:rsidRPr="005509EA">
        <w:rPr>
          <w:rFonts w:ascii="Arial" w:hAnsi="Arial" w:cs="Arial"/>
        </w:rPr>
        <w:t xml:space="preserve">, kjer je bil v 12. stoletju zaprt angleški kralj Rihard Levjesrčni. </w:t>
      </w:r>
      <w:proofErr w:type="spellStart"/>
      <w:r w:rsidRPr="005509EA">
        <w:rPr>
          <w:rFonts w:ascii="Arial" w:hAnsi="Arial" w:cs="Arial"/>
        </w:rPr>
        <w:t>Dürnstein</w:t>
      </w:r>
      <w:proofErr w:type="spellEnd"/>
      <w:r w:rsidRPr="005509EA">
        <w:rPr>
          <w:rFonts w:ascii="Arial" w:hAnsi="Arial" w:cs="Arial"/>
        </w:rPr>
        <w:t xml:space="preserve"> je obdan z vinogradi in je pomembno vinorodno območje, znano po belem vinu, predvsem sortah </w:t>
      </w:r>
      <w:proofErr w:type="spellStart"/>
      <w:r w:rsidRPr="005509EA">
        <w:rPr>
          <w:rFonts w:ascii="Arial" w:hAnsi="Arial" w:cs="Arial"/>
        </w:rPr>
        <w:t>Grüner</w:t>
      </w:r>
      <w:proofErr w:type="spellEnd"/>
      <w:r w:rsidRPr="005509EA">
        <w:rPr>
          <w:rFonts w:ascii="Arial" w:hAnsi="Arial" w:cs="Arial"/>
        </w:rPr>
        <w:t xml:space="preserve"> </w:t>
      </w:r>
      <w:proofErr w:type="spellStart"/>
      <w:r w:rsidRPr="005509EA">
        <w:rPr>
          <w:rFonts w:ascii="Arial" w:hAnsi="Arial" w:cs="Arial"/>
        </w:rPr>
        <w:t>Veltliner</w:t>
      </w:r>
      <w:proofErr w:type="spellEnd"/>
      <w:r w:rsidRPr="005509EA">
        <w:rPr>
          <w:rFonts w:ascii="Arial" w:hAnsi="Arial" w:cs="Arial"/>
        </w:rPr>
        <w:t xml:space="preserve"> in </w:t>
      </w:r>
      <w:proofErr w:type="spellStart"/>
      <w:r w:rsidRPr="005509EA">
        <w:rPr>
          <w:rFonts w:ascii="Arial" w:hAnsi="Arial" w:cs="Arial"/>
        </w:rPr>
        <w:t>Riesling</w:t>
      </w:r>
      <w:proofErr w:type="spellEnd"/>
      <w:r w:rsidRPr="005509EA">
        <w:rPr>
          <w:rFonts w:ascii="Arial" w:hAnsi="Arial" w:cs="Arial"/>
        </w:rPr>
        <w:t xml:space="preserve">. Občina ima bogato zgodovino, ki sega v srednji vek, in številne lepo ohranjene zgodovinske stavbe. Njene ozke ulice in slikoviti razgledi privabljajo številne turiste. </w:t>
      </w:r>
      <w:proofErr w:type="spellStart"/>
      <w:r w:rsidRPr="005509EA">
        <w:rPr>
          <w:rFonts w:ascii="Arial" w:hAnsi="Arial" w:cs="Arial"/>
        </w:rPr>
        <w:t>Dürnstein</w:t>
      </w:r>
      <w:proofErr w:type="spellEnd"/>
      <w:r w:rsidRPr="005509EA">
        <w:rPr>
          <w:rFonts w:ascii="Arial" w:hAnsi="Arial" w:cs="Arial"/>
        </w:rPr>
        <w:t xml:space="preserve"> je del Unescove svetovne dediščine zaradi svoje kulturne in naravne vrednosti. Mesto je tudi priljubljena postojanka za križarjenja po Donavi. Kljub turistični obiskanosti ohranja svoj šarm majhnega mesteca. </w:t>
      </w:r>
      <w:proofErr w:type="spellStart"/>
      <w:r w:rsidRPr="005509EA">
        <w:rPr>
          <w:rFonts w:ascii="Arial" w:hAnsi="Arial" w:cs="Arial"/>
        </w:rPr>
        <w:t>Dürnstein</w:t>
      </w:r>
      <w:proofErr w:type="spellEnd"/>
      <w:r w:rsidRPr="005509EA">
        <w:rPr>
          <w:rFonts w:ascii="Arial" w:hAnsi="Arial" w:cs="Arial"/>
        </w:rPr>
        <w:t xml:space="preserve"> je idealen kraj za ljubitelje zgodovine, narave in vina. Občina </w:t>
      </w:r>
      <w:proofErr w:type="spellStart"/>
      <w:r w:rsidRPr="005509EA">
        <w:rPr>
          <w:rFonts w:ascii="Arial" w:hAnsi="Arial" w:cs="Arial"/>
        </w:rPr>
        <w:t>Dürnstein</w:t>
      </w:r>
      <w:proofErr w:type="spellEnd"/>
      <w:r w:rsidRPr="005509EA">
        <w:rPr>
          <w:rFonts w:ascii="Arial" w:hAnsi="Arial" w:cs="Arial"/>
        </w:rPr>
        <w:t xml:space="preserve"> v Spodnji Avstriji ima po ocenah za leto 2024 skupno nekaj več kot 800 prebivalcev. Glavno naselje </w:t>
      </w:r>
      <w:proofErr w:type="spellStart"/>
      <w:r w:rsidRPr="005509EA">
        <w:rPr>
          <w:rFonts w:ascii="Arial" w:hAnsi="Arial" w:cs="Arial"/>
        </w:rPr>
        <w:t>Dürnstein</w:t>
      </w:r>
      <w:proofErr w:type="spellEnd"/>
      <w:r w:rsidRPr="005509EA">
        <w:rPr>
          <w:rFonts w:ascii="Arial" w:hAnsi="Arial" w:cs="Arial"/>
        </w:rPr>
        <w:t xml:space="preserve"> šteje okrog 300 prebivalcev. </w:t>
      </w:r>
    </w:p>
    <w:p w14:paraId="6567E376" w14:textId="77777777" w:rsidR="005509EA" w:rsidRPr="005509EA" w:rsidRDefault="005509EA" w:rsidP="005509EA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5509EA">
        <w:rPr>
          <w:rFonts w:cs="Arial"/>
          <w:sz w:val="22"/>
          <w:szCs w:val="22"/>
        </w:rPr>
        <w:t xml:space="preserve">Glavna gospodarska panoga občine </w:t>
      </w:r>
      <w:proofErr w:type="spellStart"/>
      <w:r w:rsidRPr="005509EA">
        <w:rPr>
          <w:rFonts w:cs="Arial"/>
          <w:sz w:val="22"/>
          <w:szCs w:val="22"/>
        </w:rPr>
        <w:t>Dürnstein</w:t>
      </w:r>
      <w:proofErr w:type="spellEnd"/>
      <w:r w:rsidRPr="005509EA">
        <w:rPr>
          <w:rFonts w:cs="Arial"/>
          <w:sz w:val="22"/>
          <w:szCs w:val="22"/>
        </w:rPr>
        <w:t xml:space="preserve"> je vinogradništvo in vinarstvo. Občina leži v središču doline </w:t>
      </w:r>
      <w:proofErr w:type="spellStart"/>
      <w:r w:rsidRPr="005509EA">
        <w:rPr>
          <w:rFonts w:cs="Arial"/>
          <w:sz w:val="22"/>
          <w:szCs w:val="22"/>
        </w:rPr>
        <w:t>Wachau</w:t>
      </w:r>
      <w:proofErr w:type="spellEnd"/>
      <w:r w:rsidRPr="005509EA">
        <w:rPr>
          <w:rFonts w:cs="Arial"/>
          <w:sz w:val="22"/>
          <w:szCs w:val="22"/>
        </w:rPr>
        <w:t xml:space="preserve">, ki je ena najbolj znanih vinorodnih regij v Avstriji, predvsem po vrhunskih belih vinih, kot sta </w:t>
      </w:r>
      <w:proofErr w:type="spellStart"/>
      <w:r w:rsidRPr="005509EA">
        <w:rPr>
          <w:rFonts w:cs="Arial"/>
          <w:sz w:val="22"/>
          <w:szCs w:val="22"/>
        </w:rPr>
        <w:t>Grüner</w:t>
      </w:r>
      <w:proofErr w:type="spellEnd"/>
      <w:r w:rsidRPr="005509EA">
        <w:rPr>
          <w:rFonts w:cs="Arial"/>
          <w:sz w:val="22"/>
          <w:szCs w:val="22"/>
        </w:rPr>
        <w:t xml:space="preserve"> </w:t>
      </w:r>
      <w:proofErr w:type="spellStart"/>
      <w:r w:rsidRPr="005509EA">
        <w:rPr>
          <w:rFonts w:cs="Arial"/>
          <w:sz w:val="22"/>
          <w:szCs w:val="22"/>
        </w:rPr>
        <w:t>Veltliner</w:t>
      </w:r>
      <w:proofErr w:type="spellEnd"/>
      <w:r w:rsidRPr="005509EA">
        <w:rPr>
          <w:rFonts w:cs="Arial"/>
          <w:sz w:val="22"/>
          <w:szCs w:val="22"/>
        </w:rPr>
        <w:t xml:space="preserve"> in </w:t>
      </w:r>
      <w:proofErr w:type="spellStart"/>
      <w:r w:rsidRPr="005509EA">
        <w:rPr>
          <w:rFonts w:cs="Arial"/>
          <w:sz w:val="22"/>
          <w:szCs w:val="22"/>
        </w:rPr>
        <w:t>Riesling</w:t>
      </w:r>
      <w:proofErr w:type="spellEnd"/>
      <w:r w:rsidRPr="005509EA">
        <w:rPr>
          <w:rFonts w:cs="Arial"/>
          <w:sz w:val="22"/>
          <w:szCs w:val="22"/>
        </w:rPr>
        <w:t>.</w:t>
      </w:r>
    </w:p>
    <w:p w14:paraId="5D8E1330" w14:textId="77777777" w:rsidR="005509EA" w:rsidRPr="005509EA" w:rsidRDefault="005509EA" w:rsidP="005509EA">
      <w:p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5509EA">
        <w:rPr>
          <w:rFonts w:cs="Arial"/>
          <w:sz w:val="22"/>
          <w:szCs w:val="22"/>
        </w:rPr>
        <w:t xml:space="preserve">Poleg tega ima pomembno vlogo tudi turizem, saj </w:t>
      </w:r>
      <w:proofErr w:type="spellStart"/>
      <w:r w:rsidRPr="005509EA">
        <w:rPr>
          <w:rFonts w:cs="Arial"/>
          <w:sz w:val="22"/>
          <w:szCs w:val="22"/>
        </w:rPr>
        <w:t>Dürnstein</w:t>
      </w:r>
      <w:proofErr w:type="spellEnd"/>
      <w:r w:rsidRPr="005509EA">
        <w:rPr>
          <w:rFonts w:cs="Arial"/>
          <w:sz w:val="22"/>
          <w:szCs w:val="22"/>
        </w:rPr>
        <w:t xml:space="preserve"> privablja številne obiskovalce zaradi svoje zgodovine, arhitekture, naravnih lepot in lege ob Donavi. Mnogi domačini se ukvarjajo z gostinstvom, ponudbo nastanitev, vodenjem izletov in prodajo lokalnih izdelkov. Kombinacija vinogradništva in turizma tako predstavlja temelj gospodarstva v </w:t>
      </w:r>
      <w:proofErr w:type="spellStart"/>
      <w:r w:rsidRPr="005509EA">
        <w:rPr>
          <w:rFonts w:cs="Arial"/>
          <w:sz w:val="22"/>
          <w:szCs w:val="22"/>
        </w:rPr>
        <w:t>Durnsteinu</w:t>
      </w:r>
      <w:proofErr w:type="spellEnd"/>
      <w:r w:rsidRPr="005509EA">
        <w:rPr>
          <w:rFonts w:cs="Arial"/>
          <w:sz w:val="22"/>
          <w:szCs w:val="22"/>
        </w:rPr>
        <w:t>.</w:t>
      </w:r>
    </w:p>
    <w:p w14:paraId="2E82F2CD" w14:textId="77777777" w:rsidR="005509EA" w:rsidRP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  <w:r w:rsidRPr="005509EA">
        <w:rPr>
          <w:rFonts w:ascii="Arial" w:hAnsi="Arial" w:cs="Arial"/>
        </w:rPr>
        <w:t>S strani obeh občin je bil izražen interes po vzpostavitvi in tudi formalizaciji sodelovanja, saj imata obe občini veliko stičnih točk.</w:t>
      </w:r>
    </w:p>
    <w:p w14:paraId="70A97E8F" w14:textId="77777777" w:rsidR="005509EA" w:rsidRP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316916DB" w14:textId="77777777" w:rsid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  <w:r w:rsidRPr="005509EA">
        <w:rPr>
          <w:rFonts w:ascii="Arial" w:hAnsi="Arial" w:cs="Arial"/>
        </w:rPr>
        <w:t xml:space="preserve">Prvi odstavek 6. člena Zakona o lokalni samoupravi </w:t>
      </w:r>
      <w:bookmarkStart w:id="0" w:name="_Hlk195793327"/>
      <w:r w:rsidRPr="005509EA">
        <w:rPr>
          <w:rFonts w:ascii="Arial" w:hAnsi="Arial" w:cs="Arial"/>
        </w:rPr>
        <w:t>(Uradni list RS, št. 94/07 –</w:t>
      </w:r>
      <w:r w:rsidRPr="00132437">
        <w:rPr>
          <w:rFonts w:ascii="Arial" w:hAnsi="Arial" w:cs="Arial"/>
        </w:rPr>
        <w:t xml:space="preserve"> uradno prečiščeno besedilo, 76/08, 79/09, 51/10, 40/12 – ZUJF, 11/14 – </w:t>
      </w:r>
      <w:proofErr w:type="spellStart"/>
      <w:r w:rsidRPr="00132437">
        <w:rPr>
          <w:rFonts w:ascii="Arial" w:hAnsi="Arial" w:cs="Arial"/>
        </w:rPr>
        <w:t>popr</w:t>
      </w:r>
      <w:proofErr w:type="spellEnd"/>
      <w:r w:rsidRPr="00132437">
        <w:rPr>
          <w:rFonts w:ascii="Arial" w:hAnsi="Arial" w:cs="Arial"/>
        </w:rPr>
        <w:t xml:space="preserve">., 14/15 – ZUUJFO, 11/18 – ZSPDSLS-1, 30/18, 61/20 – ZIUZEOP-A, 80/20 – ZIUOOPE, 62/24 – </w:t>
      </w:r>
      <w:proofErr w:type="spellStart"/>
      <w:r w:rsidRPr="00132437">
        <w:rPr>
          <w:rFonts w:ascii="Arial" w:hAnsi="Arial" w:cs="Arial"/>
        </w:rPr>
        <w:t>odl</w:t>
      </w:r>
      <w:proofErr w:type="spellEnd"/>
      <w:r w:rsidRPr="00132437">
        <w:rPr>
          <w:rFonts w:ascii="Arial" w:hAnsi="Arial" w:cs="Arial"/>
        </w:rPr>
        <w:t>. US in 102/24 – ZLV-K</w:t>
      </w:r>
      <w:r>
        <w:rPr>
          <w:rFonts w:ascii="Arial" w:hAnsi="Arial" w:cs="Arial"/>
        </w:rPr>
        <w:t xml:space="preserve">) </w:t>
      </w:r>
      <w:bookmarkEnd w:id="0"/>
      <w:r>
        <w:rPr>
          <w:rFonts w:ascii="Arial" w:hAnsi="Arial" w:cs="Arial"/>
        </w:rPr>
        <w:t>določa naslednje</w:t>
      </w:r>
      <w:r w:rsidRPr="00740C5C">
        <w:rPr>
          <w:rFonts w:ascii="Arial" w:hAnsi="Arial" w:cs="Arial"/>
        </w:rPr>
        <w:t xml:space="preserve">: </w:t>
      </w:r>
      <w:r w:rsidRPr="00740C5C">
        <w:rPr>
          <w:rFonts w:ascii="Arial" w:hAnsi="Arial" w:cs="Arial"/>
          <w:i/>
        </w:rPr>
        <w:t>občine med seboj prostovoljno sodelujejo zaradi skupnega urejanja in opravljanja lokalnih zadev javnega pomena. V ta namen ustanavljajo zveze, lahko združujejo sredstva in v skladu z zakonom ustanavljajo skupne organe ter organe skupne občinske uprave, ustanavljajo in upravljajo sklade, javne zavode, javna podjetja in ustanove.</w:t>
      </w:r>
      <w:r w:rsidRPr="00740C5C">
        <w:rPr>
          <w:rFonts w:ascii="Arial" w:hAnsi="Arial" w:cs="Arial"/>
        </w:rPr>
        <w:t xml:space="preserve"> Vsebinsko mu je enakovreden tudi </w:t>
      </w:r>
      <w:r>
        <w:rPr>
          <w:rFonts w:ascii="Arial" w:hAnsi="Arial" w:cs="Arial"/>
        </w:rPr>
        <w:t xml:space="preserve">drugi odstavek </w:t>
      </w:r>
      <w:r w:rsidRPr="00740C5C">
        <w:rPr>
          <w:rFonts w:ascii="Arial" w:hAnsi="Arial" w:cs="Arial"/>
        </w:rPr>
        <w:t>5. člen</w:t>
      </w:r>
      <w:r>
        <w:rPr>
          <w:rFonts w:ascii="Arial" w:hAnsi="Arial" w:cs="Arial"/>
        </w:rPr>
        <w:t>a</w:t>
      </w:r>
      <w:r w:rsidRPr="00740C5C">
        <w:rPr>
          <w:rFonts w:ascii="Arial" w:hAnsi="Arial" w:cs="Arial"/>
        </w:rPr>
        <w:t xml:space="preserve"> Statuta Občine Komen (Uradni list </w:t>
      </w:r>
      <w:r w:rsidRPr="00740C5C">
        <w:rPr>
          <w:rFonts w:ascii="Arial" w:hAnsi="Arial" w:cs="Arial"/>
        </w:rPr>
        <w:lastRenderedPageBreak/>
        <w:t xml:space="preserve">RS 80/09, 39/14, 39/16), </w:t>
      </w:r>
      <w:r>
        <w:rPr>
          <w:rFonts w:ascii="Arial" w:hAnsi="Arial" w:cs="Arial"/>
        </w:rPr>
        <w:t>ki določa, da občina lahko sodeluje tudi z lokalnimi skupnostmi drugih držav ter z mednarodnimi organizacijami lokalnih skupnosti.</w:t>
      </w:r>
    </w:p>
    <w:p w14:paraId="279EA068" w14:textId="77777777" w:rsid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0B7C8F40" w14:textId="59E013BC" w:rsid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Osnutek sporazuma je usklajen z Občino </w:t>
      </w:r>
      <w:proofErr w:type="spellStart"/>
      <w:r>
        <w:rPr>
          <w:rFonts w:ascii="Arial" w:hAnsi="Arial" w:cs="Arial"/>
        </w:rPr>
        <w:t>Dürnstein</w:t>
      </w:r>
      <w:proofErr w:type="spellEnd"/>
      <w:r>
        <w:rPr>
          <w:rFonts w:ascii="Arial" w:hAnsi="Arial" w:cs="Arial"/>
        </w:rPr>
        <w:t>. Svečani podpis sporazuma o pobratenju bo predvidoma v začetku meseca junija 2025 v Občini Kungota, pobrateni občini Občine Komen.</w:t>
      </w:r>
    </w:p>
    <w:p w14:paraId="3F45A1AF" w14:textId="77777777" w:rsid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79B76388" w14:textId="77777777" w:rsid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</w:p>
    <w:tbl>
      <w:tblPr>
        <w:tblStyle w:val="Tabelamrea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685"/>
        <w:gridCol w:w="3834"/>
      </w:tblGrid>
      <w:tr w:rsidR="005509EA" w14:paraId="2BD7495F" w14:textId="77777777" w:rsidTr="006B3F41">
        <w:tc>
          <w:tcPr>
            <w:tcW w:w="4558" w:type="dxa"/>
          </w:tcPr>
          <w:p w14:paraId="1CF2781A" w14:textId="77777777" w:rsidR="005509EA" w:rsidRPr="00C923D3" w:rsidRDefault="005509EA" w:rsidP="006B3F41">
            <w:pPr>
              <w:rPr>
                <w:rFonts w:cs="Arial"/>
                <w:sz w:val="22"/>
                <w:szCs w:val="22"/>
                <w:lang w:eastAsia="en-US"/>
              </w:rPr>
            </w:pPr>
            <w:bookmarkStart w:id="1" w:name="odos_ip_leviPodpisnikiIzOsnutkaQR"/>
            <w:bookmarkEnd w:id="1"/>
          </w:p>
        </w:tc>
        <w:tc>
          <w:tcPr>
            <w:tcW w:w="685" w:type="dxa"/>
          </w:tcPr>
          <w:p w14:paraId="1CF64767" w14:textId="77777777" w:rsidR="005509EA" w:rsidRPr="00C923D3" w:rsidRDefault="005509EA" w:rsidP="006B3F41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34" w:type="dxa"/>
          </w:tcPr>
          <w:p w14:paraId="3F362AF1" w14:textId="77777777" w:rsidR="005509EA" w:rsidRDefault="005509EA" w:rsidP="006B3F41">
            <w:pPr>
              <w:jc w:val="center"/>
              <w:rPr>
                <w:rFonts w:eastAsia="Arial" w:cs="Arial"/>
                <w:sz w:val="22"/>
                <w:szCs w:val="22"/>
              </w:rPr>
            </w:pPr>
            <w:bookmarkStart w:id="2" w:name="odos_ip_desniPodpisnikiIzOsnutkaQR"/>
            <w:r w:rsidRPr="005509EA">
              <w:rPr>
                <w:rFonts w:eastAsia="Arial" w:cs="Arial"/>
                <w:b/>
                <w:bCs/>
                <w:sz w:val="22"/>
                <w:szCs w:val="22"/>
              </w:rPr>
              <w:t>mag. Erik Modic, župan</w:t>
            </w:r>
          </w:p>
          <w:p w14:paraId="34BC8724" w14:textId="34CA97AA" w:rsidR="005509EA" w:rsidRDefault="005509EA" w:rsidP="006B3F41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C923D3">
              <w:rPr>
                <w:rFonts w:eastAsia="Arial" w:cs="Arial"/>
                <w:sz w:val="22"/>
                <w:szCs w:val="22"/>
              </w:rPr>
              <w:br/>
            </w:r>
            <w:r w:rsidRPr="00C923D3">
              <w:rPr>
                <w:rFonts w:eastAsia="Arial" w:cs="Arial"/>
                <w:sz w:val="22"/>
                <w:szCs w:val="22"/>
              </w:rPr>
              <w:br/>
            </w:r>
          </w:p>
          <w:p w14:paraId="73687410" w14:textId="77777777" w:rsidR="005509EA" w:rsidRDefault="005509EA" w:rsidP="006B3F41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14:paraId="2F1DF89C" w14:textId="3F9933E3" w:rsidR="005509EA" w:rsidRPr="00C923D3" w:rsidRDefault="005509EA" w:rsidP="006B3F41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C923D3">
              <w:rPr>
                <w:rFonts w:eastAsia="Arial" w:cs="Arial"/>
                <w:sz w:val="22"/>
                <w:szCs w:val="22"/>
              </w:rPr>
              <w:br/>
            </w:r>
            <w:bookmarkEnd w:id="2"/>
          </w:p>
        </w:tc>
      </w:tr>
    </w:tbl>
    <w:p w14:paraId="5407264D" w14:textId="77777777" w:rsid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2D8FBCC9" w14:textId="77777777" w:rsid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013249C1" w14:textId="77777777" w:rsidR="005509EA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5827E7E4" w14:textId="7E4A3DD0" w:rsidR="005509EA" w:rsidRPr="00740C5C" w:rsidRDefault="005509EA" w:rsidP="005509EA">
      <w:pPr>
        <w:pStyle w:val="Brezrazmikov"/>
        <w:spacing w:line="276" w:lineRule="auto"/>
        <w:jc w:val="both"/>
        <w:rPr>
          <w:rFonts w:ascii="Arial" w:hAnsi="Arial" w:cs="Arial"/>
        </w:rPr>
      </w:pPr>
      <w:r w:rsidRPr="00740C5C">
        <w:rPr>
          <w:rFonts w:ascii="Arial" w:hAnsi="Arial" w:cs="Arial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6994"/>
      </w:tblGrid>
      <w:tr w:rsidR="005509EA" w:rsidRPr="00740C5C" w14:paraId="281D8D39" w14:textId="77777777" w:rsidTr="006B3F41">
        <w:tc>
          <w:tcPr>
            <w:tcW w:w="2088" w:type="dxa"/>
            <w:shd w:val="clear" w:color="auto" w:fill="auto"/>
          </w:tcPr>
          <w:p w14:paraId="0DF7F60A" w14:textId="2535632F" w:rsidR="005509EA" w:rsidRPr="00740C5C" w:rsidRDefault="005509EA" w:rsidP="006B3F41">
            <w:pPr>
              <w:pStyle w:val="Brezrazmikov"/>
              <w:jc w:val="center"/>
              <w:rPr>
                <w:rFonts w:ascii="Arial" w:hAnsi="Arial" w:cs="Arial"/>
              </w:rPr>
            </w:pPr>
            <w:r w:rsidRPr="00740C5C">
              <w:rPr>
                <w:rFonts w:ascii="Arial" w:hAnsi="Arial" w:cs="Arial"/>
                <w:noProof/>
                <w:lang w:eastAsia="sl-SI"/>
              </w:rPr>
              <w:lastRenderedPageBreak/>
              <w:drawing>
                <wp:inline distT="0" distB="0" distL="0" distR="0" wp14:anchorId="2DDCC76B" wp14:editId="7B57429D">
                  <wp:extent cx="853440" cy="1028700"/>
                  <wp:effectExtent l="0" t="0" r="3810" b="0"/>
                  <wp:docPr id="1561777684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699CC" w14:textId="77777777" w:rsidR="005509EA" w:rsidRPr="00740C5C" w:rsidRDefault="005509EA" w:rsidP="006B3F41">
            <w:pPr>
              <w:pStyle w:val="Brezrazmikov"/>
              <w:jc w:val="center"/>
              <w:rPr>
                <w:rFonts w:ascii="Arial" w:hAnsi="Arial" w:cs="Arial"/>
                <w:b/>
                <w:i/>
              </w:rPr>
            </w:pPr>
            <w:r w:rsidRPr="00740C5C">
              <w:rPr>
                <w:rFonts w:ascii="Arial" w:hAnsi="Arial" w:cs="Arial"/>
                <w:b/>
                <w:i/>
              </w:rPr>
              <w:t>Občina Komen</w:t>
            </w:r>
          </w:p>
          <w:p w14:paraId="1E6721D8" w14:textId="77777777" w:rsidR="005509EA" w:rsidRPr="00740C5C" w:rsidRDefault="005509EA" w:rsidP="006B3F41">
            <w:pPr>
              <w:pStyle w:val="Brezrazmikov"/>
              <w:jc w:val="center"/>
              <w:rPr>
                <w:rFonts w:ascii="Arial" w:hAnsi="Arial" w:cs="Arial"/>
                <w:b/>
                <w:i/>
              </w:rPr>
            </w:pPr>
            <w:r w:rsidRPr="00740C5C">
              <w:rPr>
                <w:rFonts w:ascii="Arial" w:hAnsi="Arial" w:cs="Arial"/>
                <w:b/>
                <w:i/>
              </w:rPr>
              <w:t>Občinski svet</w:t>
            </w:r>
          </w:p>
          <w:p w14:paraId="758A2352" w14:textId="77777777" w:rsidR="005509EA" w:rsidRPr="00740C5C" w:rsidRDefault="005509EA" w:rsidP="006B3F41">
            <w:pPr>
              <w:pStyle w:val="Brezrazmikov"/>
              <w:jc w:val="center"/>
              <w:rPr>
                <w:rFonts w:ascii="Arial" w:hAnsi="Arial" w:cs="Arial"/>
                <w:b/>
                <w:i/>
              </w:rPr>
            </w:pPr>
            <w:r w:rsidRPr="00740C5C">
              <w:rPr>
                <w:rFonts w:ascii="Arial" w:hAnsi="Arial" w:cs="Arial"/>
                <w:b/>
                <w:i/>
              </w:rPr>
              <w:t>Komen 86</w:t>
            </w:r>
          </w:p>
          <w:p w14:paraId="4F7A0869" w14:textId="77777777" w:rsidR="005509EA" w:rsidRPr="00740C5C" w:rsidRDefault="005509EA" w:rsidP="006B3F41">
            <w:pPr>
              <w:pStyle w:val="Brezrazmikov"/>
              <w:jc w:val="center"/>
              <w:rPr>
                <w:rFonts w:ascii="Arial" w:hAnsi="Arial" w:cs="Arial"/>
                <w:i/>
              </w:rPr>
            </w:pPr>
            <w:r w:rsidRPr="00740C5C">
              <w:rPr>
                <w:rFonts w:ascii="Arial" w:hAnsi="Arial" w:cs="Arial"/>
                <w:b/>
                <w:i/>
              </w:rPr>
              <w:t>6223 Komen</w:t>
            </w:r>
          </w:p>
        </w:tc>
        <w:tc>
          <w:tcPr>
            <w:tcW w:w="7122" w:type="dxa"/>
            <w:shd w:val="clear" w:color="auto" w:fill="auto"/>
          </w:tcPr>
          <w:p w14:paraId="17A1754B" w14:textId="77777777" w:rsidR="005509EA" w:rsidRPr="00740C5C" w:rsidRDefault="005509EA" w:rsidP="006B3F41">
            <w:pPr>
              <w:pStyle w:val="Brezrazmikov"/>
              <w:rPr>
                <w:rFonts w:ascii="Arial" w:hAnsi="Arial" w:cs="Arial"/>
              </w:rPr>
            </w:pPr>
          </w:p>
        </w:tc>
      </w:tr>
    </w:tbl>
    <w:p w14:paraId="10BF886B" w14:textId="77777777" w:rsidR="005509EA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1EE13A01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417AF6A1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  <w:r w:rsidRPr="00740C5C">
        <w:rPr>
          <w:rFonts w:ascii="Arial" w:hAnsi="Arial" w:cs="Arial"/>
          <w:bCs/>
          <w:i/>
          <w:iCs/>
        </w:rPr>
        <w:t xml:space="preserve">Številka: </w:t>
      </w:r>
      <w:r w:rsidRPr="00740C5C">
        <w:rPr>
          <w:rFonts w:ascii="Arial" w:hAnsi="Arial" w:cs="Arial"/>
          <w:bCs/>
          <w:i/>
          <w:iCs/>
        </w:rPr>
        <w:tab/>
      </w:r>
      <w:r w:rsidRPr="00740C5C">
        <w:rPr>
          <w:rFonts w:ascii="Arial" w:hAnsi="Arial" w:cs="Arial"/>
          <w:bCs/>
          <w:i/>
          <w:iCs/>
        </w:rPr>
        <w:tab/>
      </w:r>
      <w:r w:rsidRPr="00740C5C">
        <w:rPr>
          <w:rFonts w:ascii="Arial" w:hAnsi="Arial" w:cs="Arial"/>
          <w:bCs/>
          <w:i/>
          <w:iCs/>
        </w:rPr>
        <w:tab/>
      </w:r>
    </w:p>
    <w:p w14:paraId="25545628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  <w:r w:rsidRPr="00740C5C">
        <w:rPr>
          <w:rFonts w:ascii="Arial" w:hAnsi="Arial" w:cs="Arial"/>
          <w:bCs/>
          <w:i/>
          <w:iCs/>
        </w:rPr>
        <w:t xml:space="preserve">Datum: </w:t>
      </w:r>
      <w:r w:rsidRPr="00740C5C">
        <w:rPr>
          <w:rFonts w:ascii="Arial" w:hAnsi="Arial" w:cs="Arial"/>
          <w:bCs/>
          <w:i/>
          <w:iCs/>
        </w:rPr>
        <w:tab/>
      </w:r>
      <w:r w:rsidRPr="00740C5C">
        <w:rPr>
          <w:rFonts w:ascii="Arial" w:hAnsi="Arial" w:cs="Arial"/>
          <w:bCs/>
          <w:i/>
          <w:iCs/>
        </w:rPr>
        <w:tab/>
      </w:r>
    </w:p>
    <w:p w14:paraId="2F7A03F0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76F5EBFF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536B7F5C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bCs/>
          <w:i/>
          <w:iCs/>
        </w:rPr>
      </w:pPr>
      <w:r w:rsidRPr="00740C5C">
        <w:rPr>
          <w:rFonts w:ascii="Arial" w:hAnsi="Arial" w:cs="Arial"/>
          <w:bCs/>
          <w:i/>
          <w:iCs/>
        </w:rPr>
        <w:t xml:space="preserve">Na podlagi 6. člena Zakona o lokalni samoupravi </w:t>
      </w:r>
      <w:r w:rsidRPr="00B17BFA">
        <w:rPr>
          <w:rFonts w:ascii="Arial" w:hAnsi="Arial" w:cs="Arial"/>
          <w:bCs/>
          <w:i/>
          <w:iCs/>
        </w:rPr>
        <w:t xml:space="preserve">(Uradni list RS, št. 94/07 – uradno prečiščeno besedilo, 76/08, 79/09, 51/10, 40/12 – ZUJF, 11/14 – </w:t>
      </w:r>
      <w:proofErr w:type="spellStart"/>
      <w:r w:rsidRPr="00B17BFA">
        <w:rPr>
          <w:rFonts w:ascii="Arial" w:hAnsi="Arial" w:cs="Arial"/>
          <w:bCs/>
          <w:i/>
          <w:iCs/>
        </w:rPr>
        <w:t>popr</w:t>
      </w:r>
      <w:proofErr w:type="spellEnd"/>
      <w:r w:rsidRPr="00B17BFA">
        <w:rPr>
          <w:rFonts w:ascii="Arial" w:hAnsi="Arial" w:cs="Arial"/>
          <w:bCs/>
          <w:i/>
          <w:iCs/>
        </w:rPr>
        <w:t xml:space="preserve">., 14/15 – ZUUJFO, 11/18 – ZSPDSLS-1, 30/18, 61/20 – ZIUZEOP-A, 80/20 – ZIUOOPE, 62/24 – </w:t>
      </w:r>
      <w:proofErr w:type="spellStart"/>
      <w:r w:rsidRPr="00B17BFA">
        <w:rPr>
          <w:rFonts w:ascii="Arial" w:hAnsi="Arial" w:cs="Arial"/>
          <w:bCs/>
          <w:i/>
          <w:iCs/>
        </w:rPr>
        <w:t>odl</w:t>
      </w:r>
      <w:proofErr w:type="spellEnd"/>
      <w:r w:rsidRPr="00B17BFA">
        <w:rPr>
          <w:rFonts w:ascii="Arial" w:hAnsi="Arial" w:cs="Arial"/>
          <w:bCs/>
          <w:i/>
          <w:iCs/>
        </w:rPr>
        <w:t>. US in 102/24 – ZLV-K)</w:t>
      </w:r>
      <w:r w:rsidRPr="00740C5C">
        <w:rPr>
          <w:rFonts w:ascii="Arial" w:hAnsi="Arial" w:cs="Arial"/>
          <w:bCs/>
          <w:i/>
          <w:iCs/>
        </w:rPr>
        <w:t>, 5. in 16. člena Statuta Občine Komen (Uradni list RS 80/09, 39/14, 39/16) je občinski svet Občine Komen na svoji --. redni seji, dne ----------------- sprejel naslednji</w:t>
      </w:r>
    </w:p>
    <w:p w14:paraId="5E01D1A6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06D4B65C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29648DDD" w14:textId="77777777" w:rsidR="005509EA" w:rsidRPr="00DF1689" w:rsidRDefault="005509EA" w:rsidP="005509EA">
      <w:pPr>
        <w:pStyle w:val="Brezrazmikov"/>
        <w:jc w:val="center"/>
        <w:rPr>
          <w:rFonts w:ascii="Arial" w:hAnsi="Arial" w:cs="Arial"/>
          <w:b/>
          <w:bCs/>
          <w:i/>
          <w:iCs/>
          <w:spacing w:val="62"/>
        </w:rPr>
      </w:pPr>
      <w:r w:rsidRPr="00DF1689">
        <w:rPr>
          <w:rFonts w:ascii="Arial" w:hAnsi="Arial" w:cs="Arial"/>
          <w:b/>
          <w:bCs/>
          <w:i/>
          <w:iCs/>
          <w:spacing w:val="62"/>
        </w:rPr>
        <w:t>SKLEP</w:t>
      </w:r>
    </w:p>
    <w:p w14:paraId="11A311BB" w14:textId="77777777" w:rsidR="005509EA" w:rsidRPr="00740C5C" w:rsidRDefault="005509EA" w:rsidP="005509EA">
      <w:pPr>
        <w:pStyle w:val="Brezrazmikov"/>
        <w:rPr>
          <w:rFonts w:ascii="Arial" w:hAnsi="Arial" w:cs="Arial"/>
          <w:i/>
          <w:iCs/>
        </w:rPr>
      </w:pPr>
    </w:p>
    <w:p w14:paraId="37EC007C" w14:textId="77777777" w:rsidR="005509EA" w:rsidRDefault="005509EA" w:rsidP="005509EA">
      <w:pPr>
        <w:pStyle w:val="Brezrazmikov"/>
        <w:rPr>
          <w:rFonts w:ascii="Arial" w:hAnsi="Arial" w:cs="Arial"/>
          <w:i/>
          <w:iCs/>
        </w:rPr>
      </w:pPr>
    </w:p>
    <w:p w14:paraId="73DB6ECF" w14:textId="77777777" w:rsidR="005509EA" w:rsidRDefault="005509EA" w:rsidP="005509EA">
      <w:pPr>
        <w:pStyle w:val="Brezrazmikov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</w:t>
      </w:r>
    </w:p>
    <w:p w14:paraId="4436EC44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i/>
        </w:rPr>
      </w:pPr>
      <w:r w:rsidRPr="00740C5C">
        <w:rPr>
          <w:rFonts w:ascii="Arial" w:hAnsi="Arial" w:cs="Arial"/>
          <w:i/>
        </w:rPr>
        <w:t>Občina Komen</w:t>
      </w:r>
      <w:r>
        <w:rPr>
          <w:rFonts w:ascii="Arial" w:hAnsi="Arial" w:cs="Arial"/>
          <w:i/>
        </w:rPr>
        <w:t xml:space="preserve"> in Občina </w:t>
      </w:r>
      <w:proofErr w:type="spellStart"/>
      <w:r>
        <w:rPr>
          <w:rFonts w:ascii="Arial" w:hAnsi="Arial" w:cs="Arial"/>
          <w:i/>
        </w:rPr>
        <w:t>Dürnstein</w:t>
      </w:r>
      <w:proofErr w:type="spellEnd"/>
      <w:r w:rsidRPr="00740C5C">
        <w:rPr>
          <w:rFonts w:ascii="Arial" w:hAnsi="Arial" w:cs="Arial"/>
          <w:i/>
        </w:rPr>
        <w:t xml:space="preserve"> skleneta sporazum o pobratenju občin.</w:t>
      </w:r>
    </w:p>
    <w:p w14:paraId="0A12CA4B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bCs/>
          <w:i/>
          <w:iCs/>
        </w:rPr>
      </w:pPr>
    </w:p>
    <w:p w14:paraId="0DE74DB4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bCs/>
          <w:i/>
          <w:iCs/>
        </w:rPr>
      </w:pPr>
      <w:r w:rsidRPr="00740C5C">
        <w:rPr>
          <w:rFonts w:ascii="Arial" w:hAnsi="Arial" w:cs="Arial"/>
          <w:bCs/>
          <w:i/>
          <w:iCs/>
        </w:rPr>
        <w:t xml:space="preserve">Za svečani podpis sporazuma </w:t>
      </w:r>
      <w:r>
        <w:rPr>
          <w:rFonts w:ascii="Arial" w:hAnsi="Arial" w:cs="Arial"/>
          <w:bCs/>
          <w:i/>
          <w:iCs/>
        </w:rPr>
        <w:t xml:space="preserve">s strani Občine Komen </w:t>
      </w:r>
      <w:r w:rsidRPr="00740C5C">
        <w:rPr>
          <w:rFonts w:ascii="Arial" w:hAnsi="Arial" w:cs="Arial"/>
          <w:bCs/>
          <w:i/>
          <w:iCs/>
        </w:rPr>
        <w:t xml:space="preserve">se pooblasti župana Občine Komen, </w:t>
      </w:r>
      <w:r>
        <w:rPr>
          <w:rFonts w:ascii="Arial" w:hAnsi="Arial" w:cs="Arial"/>
          <w:bCs/>
          <w:i/>
          <w:iCs/>
        </w:rPr>
        <w:t>mag. Erika Modica</w:t>
      </w:r>
      <w:r w:rsidRPr="00740C5C">
        <w:rPr>
          <w:rFonts w:ascii="Arial" w:hAnsi="Arial" w:cs="Arial"/>
          <w:bCs/>
          <w:i/>
          <w:iCs/>
        </w:rPr>
        <w:t>.</w:t>
      </w:r>
    </w:p>
    <w:p w14:paraId="7D9CBD8A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bCs/>
          <w:i/>
          <w:iCs/>
        </w:rPr>
      </w:pPr>
    </w:p>
    <w:p w14:paraId="01205E75" w14:textId="77777777" w:rsidR="005509EA" w:rsidRPr="00740C5C" w:rsidRDefault="005509EA" w:rsidP="005509EA">
      <w:pPr>
        <w:pStyle w:val="Brezrazmikov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2.</w:t>
      </w:r>
    </w:p>
    <w:p w14:paraId="51D463C7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bCs/>
          <w:i/>
          <w:iCs/>
        </w:rPr>
      </w:pPr>
      <w:r w:rsidRPr="00740C5C">
        <w:rPr>
          <w:rFonts w:ascii="Arial" w:hAnsi="Arial" w:cs="Arial"/>
          <w:bCs/>
          <w:i/>
          <w:iCs/>
        </w:rPr>
        <w:t>Sporazum o pobratenju občin stopi v veljavo, ko ga podpišeta župana obeh občin.</w:t>
      </w:r>
    </w:p>
    <w:p w14:paraId="5C04A8C0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bCs/>
          <w:i/>
          <w:iCs/>
        </w:rPr>
      </w:pPr>
    </w:p>
    <w:p w14:paraId="39CAC2CA" w14:textId="77777777" w:rsidR="005509EA" w:rsidRPr="00740C5C" w:rsidRDefault="005509EA" w:rsidP="005509EA">
      <w:pPr>
        <w:pStyle w:val="Brezrazmikov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3</w:t>
      </w:r>
      <w:r w:rsidRPr="00740C5C">
        <w:rPr>
          <w:rFonts w:ascii="Arial" w:hAnsi="Arial" w:cs="Arial"/>
          <w:bCs/>
          <w:i/>
          <w:iCs/>
        </w:rPr>
        <w:t>.</w:t>
      </w:r>
    </w:p>
    <w:p w14:paraId="329F8E95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bCs/>
          <w:i/>
          <w:iCs/>
        </w:rPr>
      </w:pPr>
      <w:r w:rsidRPr="00740C5C">
        <w:rPr>
          <w:rFonts w:ascii="Arial" w:hAnsi="Arial" w:cs="Arial"/>
          <w:bCs/>
          <w:i/>
          <w:iCs/>
        </w:rPr>
        <w:t>Ta sklep velja takoj.</w:t>
      </w:r>
    </w:p>
    <w:p w14:paraId="2E2DC3BF" w14:textId="77777777" w:rsidR="005509EA" w:rsidRPr="00740C5C" w:rsidRDefault="005509EA" w:rsidP="005509EA">
      <w:pPr>
        <w:pStyle w:val="Brezrazmikov"/>
        <w:jc w:val="both"/>
        <w:rPr>
          <w:rFonts w:ascii="Arial" w:hAnsi="Arial" w:cs="Arial"/>
          <w:bCs/>
          <w:i/>
          <w:iCs/>
        </w:rPr>
      </w:pPr>
    </w:p>
    <w:p w14:paraId="2CBB3328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24A644EC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19AEDED7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p w14:paraId="64A78E0F" w14:textId="77777777" w:rsidR="005509EA" w:rsidRPr="00740C5C" w:rsidRDefault="005509EA" w:rsidP="005509EA">
      <w:pPr>
        <w:pStyle w:val="Brezrazmikov"/>
        <w:rPr>
          <w:rFonts w:ascii="Arial" w:hAnsi="Arial" w:cs="Arial"/>
          <w:bCs/>
          <w:i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544"/>
      </w:tblGrid>
      <w:tr w:rsidR="005509EA" w:rsidRPr="00740C5C" w14:paraId="15FBC1FC" w14:textId="77777777" w:rsidTr="006B3F41">
        <w:tc>
          <w:tcPr>
            <w:tcW w:w="4528" w:type="dxa"/>
          </w:tcPr>
          <w:p w14:paraId="0B01B8E2" w14:textId="77777777" w:rsidR="005509EA" w:rsidRPr="00740C5C" w:rsidRDefault="005509EA" w:rsidP="006B3F41">
            <w:pPr>
              <w:pStyle w:val="Brezrazmikov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544" w:type="dxa"/>
          </w:tcPr>
          <w:p w14:paraId="5C1E6B00" w14:textId="77777777" w:rsidR="005509EA" w:rsidRPr="00740C5C" w:rsidRDefault="005509EA" w:rsidP="006B3F41">
            <w:pPr>
              <w:pStyle w:val="Brezrazmikov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Mag. Erik Modic, ž</w:t>
            </w:r>
            <w:r w:rsidRPr="00740C5C">
              <w:rPr>
                <w:rFonts w:ascii="Arial" w:hAnsi="Arial" w:cs="Arial"/>
                <w:b/>
                <w:i/>
                <w:iCs/>
              </w:rPr>
              <w:t>upan</w:t>
            </w:r>
          </w:p>
        </w:tc>
      </w:tr>
    </w:tbl>
    <w:p w14:paraId="764D91FF" w14:textId="77777777" w:rsidR="005509EA" w:rsidRPr="00740C5C" w:rsidRDefault="005509EA" w:rsidP="005509EA">
      <w:pPr>
        <w:pStyle w:val="Brezrazmikov"/>
        <w:rPr>
          <w:rFonts w:ascii="Arial" w:hAnsi="Arial" w:cs="Arial"/>
        </w:rPr>
      </w:pPr>
      <w:r w:rsidRPr="00740C5C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18E6DF59" w14:textId="77777777" w:rsidR="005509EA" w:rsidRPr="00740C5C" w:rsidRDefault="005509EA" w:rsidP="005509EA">
      <w:pPr>
        <w:pStyle w:val="Brezrazmikov"/>
        <w:rPr>
          <w:rFonts w:ascii="Arial" w:hAnsi="Arial" w:cs="Arial"/>
        </w:rPr>
      </w:pPr>
      <w:r w:rsidRPr="00740C5C"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</w:p>
    <w:p w14:paraId="6C13089C" w14:textId="77777777" w:rsidR="005509EA" w:rsidRPr="00740C5C" w:rsidRDefault="005509EA" w:rsidP="005509EA">
      <w:pPr>
        <w:pStyle w:val="Brezrazmikov"/>
        <w:rPr>
          <w:rFonts w:ascii="Arial" w:hAnsi="Arial" w:cs="Arial"/>
        </w:rPr>
      </w:pPr>
    </w:p>
    <w:p w14:paraId="20AAE5AA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57397CBA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5372E0D5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79282F7B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15B2754D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7A4AC8EF" w14:textId="77777777" w:rsidR="001B1730" w:rsidRPr="00C923D3" w:rsidRDefault="001B1730" w:rsidP="00B87823">
      <w:pPr>
        <w:jc w:val="both"/>
        <w:rPr>
          <w:rFonts w:cs="Arial"/>
          <w:sz w:val="22"/>
          <w:szCs w:val="22"/>
        </w:rPr>
      </w:pPr>
    </w:p>
    <w:p w14:paraId="220B8159" w14:textId="77777777" w:rsidR="001B1730" w:rsidRPr="00C923D3" w:rsidRDefault="001B1730" w:rsidP="00C923D3">
      <w:pPr>
        <w:jc w:val="both"/>
        <w:rPr>
          <w:rFonts w:cs="Arial"/>
          <w:sz w:val="22"/>
          <w:szCs w:val="22"/>
        </w:rPr>
      </w:pPr>
    </w:p>
    <w:p w14:paraId="2E6DE503" w14:textId="77777777" w:rsidR="001B1730" w:rsidRPr="00C923D3" w:rsidRDefault="001B1730" w:rsidP="00C923D3">
      <w:pPr>
        <w:rPr>
          <w:rFonts w:cs="Arial"/>
          <w:sz w:val="22"/>
          <w:szCs w:val="22"/>
        </w:rPr>
      </w:pPr>
    </w:p>
    <w:p w14:paraId="5B5CC457" w14:textId="77777777" w:rsidR="001B1730" w:rsidRDefault="001B1730" w:rsidP="001B1730">
      <w:pPr>
        <w:rPr>
          <w:rFonts w:cs="Arial"/>
          <w:sz w:val="20"/>
        </w:rPr>
      </w:pPr>
    </w:p>
    <w:sectPr w:rsidR="001B1730" w:rsidSect="00582230">
      <w:footerReference w:type="default" r:id="rId8"/>
      <w:headerReference w:type="first" r:id="rId9"/>
      <w:footerReference w:type="first" r:id="rId10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EF3C" w14:textId="77777777" w:rsidR="00CE4062" w:rsidRDefault="00CE4062">
      <w:r>
        <w:separator/>
      </w:r>
    </w:p>
  </w:endnote>
  <w:endnote w:type="continuationSeparator" w:id="0">
    <w:p w14:paraId="6F8E443F" w14:textId="77777777" w:rsidR="00CE4062" w:rsidRDefault="00CE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3B7B75" w14:textId="77777777" w:rsidR="00632704" w:rsidRPr="00632704" w:rsidRDefault="00FC28BF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4323D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4323D6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FC12EB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25EB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FB66690" w14:textId="77777777" w:rsidR="00FA5A47" w:rsidRPr="00582230" w:rsidRDefault="00FA5A47" w:rsidP="00CA6239">
    <w:pPr>
      <w:pStyle w:val="Noga"/>
      <w:rPr>
        <w:sz w:val="4"/>
        <w:szCs w:val="4"/>
      </w:rPr>
    </w:pPr>
  </w:p>
  <w:p w14:paraId="33897303" w14:textId="77777777" w:rsidR="00FA5A47" w:rsidRPr="00582230" w:rsidRDefault="00FC28BF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3B0E059E" w14:textId="77777777" w:rsidR="00FA5A47" w:rsidRPr="00582230" w:rsidRDefault="00FC28BF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Pr="00582230">
      <w:rPr>
        <w:rFonts w:cs="Arial"/>
        <w:sz w:val="17"/>
        <w:szCs w:val="17"/>
        <w:lang w:val="en-US"/>
      </w:rPr>
      <w:t>elefon</w:t>
    </w:r>
    <w:proofErr w:type="spellEnd"/>
    <w:r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Pr="00582230">
      <w:rPr>
        <w:rFonts w:cs="Arial"/>
        <w:sz w:val="17"/>
        <w:szCs w:val="17"/>
        <w:lang w:val="en-US"/>
      </w:rPr>
      <w:t>pošta</w:t>
    </w:r>
    <w:proofErr w:type="spellEnd"/>
    <w:r w:rsidRPr="00582230">
      <w:rPr>
        <w:rFonts w:cs="Arial"/>
        <w:sz w:val="17"/>
        <w:szCs w:val="17"/>
        <w:lang w:val="en-US"/>
      </w:rPr>
      <w:t>: obcina@komen.si</w:t>
    </w:r>
  </w:p>
  <w:p w14:paraId="23FA5BD6" w14:textId="77777777" w:rsidR="00FA5A47" w:rsidRPr="00582230" w:rsidRDefault="00FC28BF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56A1E7A0" w14:textId="77777777" w:rsidR="00FA5A47" w:rsidRDefault="00FA5A47" w:rsidP="00CA6239">
    <w:pPr>
      <w:pStyle w:val="Noga"/>
      <w:rPr>
        <w:sz w:val="2"/>
        <w:szCs w:val="2"/>
      </w:rPr>
    </w:pPr>
  </w:p>
  <w:p w14:paraId="1C3FB886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9AF0" w14:textId="77777777" w:rsidR="00CE4062" w:rsidRDefault="00CE4062">
      <w:r>
        <w:separator/>
      </w:r>
    </w:p>
  </w:footnote>
  <w:footnote w:type="continuationSeparator" w:id="0">
    <w:p w14:paraId="5F159610" w14:textId="77777777" w:rsidR="00CE4062" w:rsidRDefault="00CE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373407" w14:paraId="3AE1E303" w14:textId="77777777" w:rsidTr="00E66F13">
      <w:trPr>
        <w:trHeight w:val="567"/>
      </w:trPr>
      <w:tc>
        <w:tcPr>
          <w:tcW w:w="2160" w:type="dxa"/>
        </w:tcPr>
        <w:p w14:paraId="4B6D4AF8" w14:textId="77777777" w:rsidR="00A746DE" w:rsidRPr="002C07BF" w:rsidRDefault="00FC28BF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0E8EFCFD" wp14:editId="1E8C3D9E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3407" w14:paraId="438A66CA" w14:textId="77777777" w:rsidTr="00E66F13">
      <w:tc>
        <w:tcPr>
          <w:tcW w:w="2160" w:type="dxa"/>
        </w:tcPr>
        <w:p w14:paraId="06CEB88B" w14:textId="77777777" w:rsidR="00A746DE" w:rsidRPr="00F85E76" w:rsidRDefault="00FC28BF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</w:tbl>
  <w:p w14:paraId="2F96395D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2527"/>
    <w:multiLevelType w:val="hybridMultilevel"/>
    <w:tmpl w:val="F29E20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E5B73"/>
    <w:multiLevelType w:val="hybridMultilevel"/>
    <w:tmpl w:val="B7CA7736"/>
    <w:lvl w:ilvl="0" w:tplc="5B2C1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00AA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A7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CB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0B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E4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E2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C5A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EE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09A"/>
    <w:multiLevelType w:val="hybridMultilevel"/>
    <w:tmpl w:val="5B02E8C6"/>
    <w:lvl w:ilvl="0" w:tplc="6D6EA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A6CD7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A3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C9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A39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C1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88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824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64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D4E64"/>
    <w:multiLevelType w:val="hybridMultilevel"/>
    <w:tmpl w:val="5A84ECD2"/>
    <w:lvl w:ilvl="0" w:tplc="AF0E5A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A5C8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4B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0F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2A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22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85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6C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8B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F0CFF"/>
    <w:multiLevelType w:val="hybridMultilevel"/>
    <w:tmpl w:val="89F03B6C"/>
    <w:lvl w:ilvl="0" w:tplc="4F3E75D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1B46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C5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44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A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68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D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8B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729428">
    <w:abstractNumId w:val="4"/>
  </w:num>
  <w:num w:numId="2" w16cid:durableId="405155287">
    <w:abstractNumId w:val="3"/>
  </w:num>
  <w:num w:numId="3" w16cid:durableId="910237891">
    <w:abstractNumId w:val="2"/>
  </w:num>
  <w:num w:numId="4" w16cid:durableId="933973354">
    <w:abstractNumId w:val="1"/>
  </w:num>
  <w:num w:numId="5" w16cid:durableId="58303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1A35C5"/>
    <w:rsid w:val="001B1730"/>
    <w:rsid w:val="00217B5D"/>
    <w:rsid w:val="002B53D8"/>
    <w:rsid w:val="002C07BF"/>
    <w:rsid w:val="00350D1C"/>
    <w:rsid w:val="00373407"/>
    <w:rsid w:val="003E247B"/>
    <w:rsid w:val="003E2944"/>
    <w:rsid w:val="004323D6"/>
    <w:rsid w:val="004508E3"/>
    <w:rsid w:val="0050175B"/>
    <w:rsid w:val="005509EA"/>
    <w:rsid w:val="00582230"/>
    <w:rsid w:val="005C4F16"/>
    <w:rsid w:val="006061AF"/>
    <w:rsid w:val="00632704"/>
    <w:rsid w:val="00637350"/>
    <w:rsid w:val="006428DC"/>
    <w:rsid w:val="00656582"/>
    <w:rsid w:val="00682B9A"/>
    <w:rsid w:val="006A2716"/>
    <w:rsid w:val="006B5D46"/>
    <w:rsid w:val="007A1825"/>
    <w:rsid w:val="007A3E14"/>
    <w:rsid w:val="00810740"/>
    <w:rsid w:val="00875487"/>
    <w:rsid w:val="00A746DE"/>
    <w:rsid w:val="00A91E23"/>
    <w:rsid w:val="00AB26EF"/>
    <w:rsid w:val="00B6776E"/>
    <w:rsid w:val="00B87823"/>
    <w:rsid w:val="00C923D3"/>
    <w:rsid w:val="00CA40B5"/>
    <w:rsid w:val="00CA6239"/>
    <w:rsid w:val="00CE4062"/>
    <w:rsid w:val="00F3723B"/>
    <w:rsid w:val="00F85E76"/>
    <w:rsid w:val="00FA5A47"/>
    <w:rsid w:val="00FC28BF"/>
    <w:rsid w:val="00F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D115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Andrejina Nardin</dc:creator>
  <cp:lastModifiedBy>Andreja Štok</cp:lastModifiedBy>
  <cp:revision>4</cp:revision>
  <cp:lastPrinted>2021-11-18T14:30:00Z</cp:lastPrinted>
  <dcterms:created xsi:type="dcterms:W3CDTF">2025-05-14T13:30:00Z</dcterms:created>
  <dcterms:modified xsi:type="dcterms:W3CDTF">2025-05-14T13:31:00Z</dcterms:modified>
</cp:coreProperties>
</file>