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Pr="00D023C3" w:rsidRDefault="007D2380" w:rsidP="007D2380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Številka: </w:t>
      </w:r>
    </w:p>
    <w:p w:rsidR="007D2380" w:rsidRPr="00D023C3" w:rsidRDefault="007D2380" w:rsidP="007D2380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Datum:   </w:t>
      </w:r>
      <w:r w:rsidR="004F2A76">
        <w:rPr>
          <w:rFonts w:ascii="Arial" w:hAnsi="Arial" w:cs="Arial"/>
          <w:sz w:val="20"/>
          <w:szCs w:val="20"/>
        </w:rPr>
        <w:t>16</w:t>
      </w:r>
      <w:bookmarkStart w:id="0" w:name="_GoBack"/>
      <w:bookmarkEnd w:id="0"/>
      <w:r w:rsidRPr="00D023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211E0">
        <w:rPr>
          <w:rFonts w:ascii="Arial" w:hAnsi="Arial" w:cs="Arial"/>
          <w:sz w:val="20"/>
          <w:szCs w:val="20"/>
        </w:rPr>
        <w:t>3</w:t>
      </w:r>
      <w:r w:rsidRPr="00D023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023C3">
        <w:rPr>
          <w:rFonts w:ascii="Arial" w:hAnsi="Arial" w:cs="Arial"/>
          <w:sz w:val="20"/>
          <w:szCs w:val="20"/>
        </w:rPr>
        <w:t>20</w:t>
      </w:r>
      <w:r w:rsidR="000211E0">
        <w:rPr>
          <w:rFonts w:ascii="Arial" w:hAnsi="Arial" w:cs="Arial"/>
          <w:sz w:val="20"/>
          <w:szCs w:val="20"/>
        </w:rPr>
        <w:t>22</w:t>
      </w:r>
      <w:r w:rsidRPr="00D023C3">
        <w:rPr>
          <w:rFonts w:ascii="Arial" w:hAnsi="Arial" w:cs="Arial"/>
          <w:sz w:val="20"/>
          <w:szCs w:val="20"/>
        </w:rPr>
        <w:tab/>
      </w: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OBČINA KOMEN</w:t>
      </w: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OBČINSKI SVET</w:t>
      </w: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Pr="00B17879" w:rsidRDefault="007D2380" w:rsidP="007D2380">
      <w:pPr>
        <w:jc w:val="both"/>
        <w:rPr>
          <w:rFonts w:ascii="Arial" w:hAnsi="Arial" w:cs="Arial"/>
          <w:sz w:val="22"/>
          <w:szCs w:val="22"/>
        </w:rPr>
      </w:pPr>
      <w:r w:rsidRPr="00B17879">
        <w:rPr>
          <w:rFonts w:ascii="Arial" w:hAnsi="Arial" w:cs="Arial"/>
          <w:sz w:val="22"/>
          <w:szCs w:val="22"/>
        </w:rPr>
        <w:t>Na podlagi 30. člena Statuta Občine Komen (Ur</w:t>
      </w:r>
      <w:r>
        <w:rPr>
          <w:rFonts w:ascii="Arial" w:hAnsi="Arial" w:cs="Arial"/>
          <w:sz w:val="22"/>
          <w:szCs w:val="22"/>
        </w:rPr>
        <w:t>adni list</w:t>
      </w:r>
      <w:r w:rsidRPr="00B17879">
        <w:rPr>
          <w:rFonts w:ascii="Arial" w:hAnsi="Arial" w:cs="Arial"/>
          <w:sz w:val="22"/>
          <w:szCs w:val="22"/>
        </w:rPr>
        <w:t xml:space="preserve"> RS</w:t>
      </w:r>
      <w:r>
        <w:rPr>
          <w:rFonts w:ascii="Arial" w:hAnsi="Arial" w:cs="Arial"/>
          <w:sz w:val="22"/>
          <w:szCs w:val="22"/>
        </w:rPr>
        <w:t>, št.</w:t>
      </w:r>
      <w:r w:rsidRPr="00B17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</w:t>
      </w:r>
      <w:r w:rsidRPr="00B1787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9</w:t>
      </w:r>
      <w:r w:rsidR="0071658D">
        <w:rPr>
          <w:rFonts w:ascii="Arial" w:hAnsi="Arial" w:cs="Arial"/>
          <w:sz w:val="22"/>
          <w:szCs w:val="22"/>
        </w:rPr>
        <w:t xml:space="preserve">, </w:t>
      </w:r>
      <w:r w:rsidR="00B908EF">
        <w:rPr>
          <w:rFonts w:ascii="Arial" w:hAnsi="Arial" w:cs="Arial"/>
          <w:sz w:val="22"/>
          <w:szCs w:val="22"/>
        </w:rPr>
        <w:t>39/14</w:t>
      </w:r>
      <w:r w:rsidR="00036334">
        <w:rPr>
          <w:rFonts w:ascii="Arial" w:hAnsi="Arial" w:cs="Arial"/>
          <w:sz w:val="22"/>
          <w:szCs w:val="22"/>
        </w:rPr>
        <w:t>, 39/16</w:t>
      </w:r>
      <w:r w:rsidRPr="00B17879">
        <w:rPr>
          <w:rFonts w:ascii="Arial" w:hAnsi="Arial" w:cs="Arial"/>
          <w:sz w:val="22"/>
          <w:szCs w:val="22"/>
        </w:rPr>
        <w:t xml:space="preserve">) vam v obravnavo in sprejem pošiljam  </w:t>
      </w:r>
    </w:p>
    <w:p w:rsidR="007D2380" w:rsidRDefault="007D2380" w:rsidP="007D2380">
      <w:pPr>
        <w:jc w:val="both"/>
        <w:rPr>
          <w:rFonts w:ascii="Arial" w:hAnsi="Arial" w:cs="Arial"/>
          <w:sz w:val="22"/>
          <w:szCs w:val="22"/>
        </w:rPr>
      </w:pPr>
    </w:p>
    <w:p w:rsidR="00BC01C5" w:rsidRDefault="00BC01C5" w:rsidP="00743386">
      <w:pPr>
        <w:jc w:val="both"/>
        <w:rPr>
          <w:rFonts w:ascii="Arial" w:hAnsi="Arial" w:cs="Arial"/>
          <w:sz w:val="22"/>
          <w:szCs w:val="22"/>
        </w:rPr>
      </w:pPr>
    </w:p>
    <w:p w:rsidR="001454A6" w:rsidRPr="00EB207C" w:rsidRDefault="001454A6" w:rsidP="00743386">
      <w:pPr>
        <w:pStyle w:val="Naslov6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B207C">
        <w:rPr>
          <w:rFonts w:ascii="Arial" w:hAnsi="Arial"/>
          <w:sz w:val="22"/>
          <w:szCs w:val="22"/>
        </w:rPr>
        <w:t xml:space="preserve">Predlog sklepa o </w:t>
      </w:r>
      <w:r w:rsidR="00743386">
        <w:rPr>
          <w:rFonts w:ascii="Arial" w:hAnsi="Arial"/>
          <w:sz w:val="22"/>
          <w:szCs w:val="22"/>
        </w:rPr>
        <w:t>plačil</w:t>
      </w:r>
      <w:r w:rsidR="00BB7803">
        <w:rPr>
          <w:rFonts w:ascii="Arial" w:hAnsi="Arial"/>
          <w:sz w:val="22"/>
          <w:szCs w:val="22"/>
        </w:rPr>
        <w:t>u</w:t>
      </w:r>
      <w:r w:rsidR="00743386">
        <w:rPr>
          <w:rFonts w:ascii="Arial" w:hAnsi="Arial"/>
          <w:sz w:val="22"/>
          <w:szCs w:val="22"/>
        </w:rPr>
        <w:t xml:space="preserve"> oziroma doplačil</w:t>
      </w:r>
      <w:r w:rsidR="00BB7803">
        <w:rPr>
          <w:rFonts w:ascii="Arial" w:hAnsi="Arial"/>
          <w:sz w:val="22"/>
          <w:szCs w:val="22"/>
        </w:rPr>
        <w:t>u</w:t>
      </w:r>
      <w:r w:rsidR="00743386">
        <w:rPr>
          <w:rFonts w:ascii="Arial" w:hAnsi="Arial"/>
          <w:sz w:val="22"/>
          <w:szCs w:val="22"/>
        </w:rPr>
        <w:t xml:space="preserve"> oskrbnih stroškov </w:t>
      </w:r>
      <w:r w:rsidR="00BB7803">
        <w:rPr>
          <w:rFonts w:ascii="Arial" w:hAnsi="Arial"/>
          <w:sz w:val="22"/>
          <w:szCs w:val="22"/>
        </w:rPr>
        <w:t xml:space="preserve">v stanovanjski skupini kot nadomestni obliki bivanja </w:t>
      </w:r>
      <w:r w:rsidR="00743386">
        <w:rPr>
          <w:rFonts w:ascii="Arial" w:hAnsi="Arial"/>
          <w:sz w:val="22"/>
          <w:szCs w:val="22"/>
        </w:rPr>
        <w:t>in oskrbe izven mreže javne službe</w:t>
      </w:r>
      <w:r w:rsidRPr="00EB207C">
        <w:rPr>
          <w:rFonts w:ascii="Arial" w:hAnsi="Arial"/>
          <w:sz w:val="22"/>
          <w:szCs w:val="22"/>
        </w:rPr>
        <w:t xml:space="preserve"> </w:t>
      </w:r>
    </w:p>
    <w:p w:rsidR="007D2380" w:rsidRPr="00B17879" w:rsidRDefault="007D2380" w:rsidP="001454A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454A6" w:rsidRDefault="001454A6" w:rsidP="007D2380">
      <w:pPr>
        <w:jc w:val="both"/>
        <w:rPr>
          <w:rFonts w:ascii="Arial" w:hAnsi="Arial" w:cs="Arial"/>
          <w:b/>
          <w:sz w:val="22"/>
          <w:szCs w:val="22"/>
        </w:rPr>
      </w:pPr>
    </w:p>
    <w:p w:rsidR="007D2380" w:rsidRDefault="007D2380" w:rsidP="007D23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Obrazložitev:</w:t>
      </w:r>
    </w:p>
    <w:p w:rsidR="007A4918" w:rsidRPr="0052048F" w:rsidRDefault="007A4918" w:rsidP="005204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4918">
        <w:rPr>
          <w:rFonts w:ascii="Arial" w:hAnsi="Arial" w:cs="Arial"/>
          <w:sz w:val="22"/>
          <w:szCs w:val="22"/>
        </w:rPr>
        <w:t xml:space="preserve">Dne </w:t>
      </w:r>
      <w:r w:rsidR="00A83D36">
        <w:rPr>
          <w:rFonts w:ascii="Arial" w:hAnsi="Arial" w:cs="Arial"/>
          <w:sz w:val="22"/>
          <w:szCs w:val="22"/>
        </w:rPr>
        <w:t>8</w:t>
      </w:r>
      <w:r w:rsidRPr="007A4918">
        <w:rPr>
          <w:rFonts w:ascii="Arial" w:hAnsi="Arial" w:cs="Arial"/>
          <w:sz w:val="22"/>
          <w:szCs w:val="22"/>
        </w:rPr>
        <w:t xml:space="preserve">. </w:t>
      </w:r>
      <w:r w:rsidR="00A83D36">
        <w:rPr>
          <w:rFonts w:ascii="Arial" w:hAnsi="Arial" w:cs="Arial"/>
          <w:sz w:val="22"/>
          <w:szCs w:val="22"/>
        </w:rPr>
        <w:t>1</w:t>
      </w:r>
      <w:r w:rsidR="00B908EF">
        <w:rPr>
          <w:rFonts w:ascii="Arial" w:hAnsi="Arial" w:cs="Arial"/>
          <w:sz w:val="22"/>
          <w:szCs w:val="22"/>
        </w:rPr>
        <w:t>2</w:t>
      </w:r>
      <w:r w:rsidRPr="007A4918">
        <w:rPr>
          <w:rFonts w:ascii="Arial" w:hAnsi="Arial" w:cs="Arial"/>
          <w:sz w:val="22"/>
          <w:szCs w:val="22"/>
        </w:rPr>
        <w:t>. 20</w:t>
      </w:r>
      <w:r w:rsidR="00A83D36">
        <w:rPr>
          <w:rFonts w:ascii="Arial" w:hAnsi="Arial" w:cs="Arial"/>
          <w:sz w:val="22"/>
          <w:szCs w:val="22"/>
        </w:rPr>
        <w:t>21</w:t>
      </w:r>
      <w:r w:rsidRPr="007A4918">
        <w:rPr>
          <w:rFonts w:ascii="Arial" w:hAnsi="Arial" w:cs="Arial"/>
          <w:sz w:val="22"/>
          <w:szCs w:val="22"/>
        </w:rPr>
        <w:t xml:space="preserve"> </w:t>
      </w:r>
      <w:r w:rsidR="001F42DF">
        <w:rPr>
          <w:rFonts w:ascii="Arial" w:hAnsi="Arial" w:cs="Arial"/>
          <w:sz w:val="22"/>
          <w:szCs w:val="22"/>
        </w:rPr>
        <w:t>nas</w:t>
      </w:r>
      <w:r w:rsidRPr="007A4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A83D36">
        <w:rPr>
          <w:rFonts w:ascii="Arial" w:hAnsi="Arial" w:cs="Arial"/>
          <w:sz w:val="22"/>
          <w:szCs w:val="22"/>
        </w:rPr>
        <w:t>OZARA Slovenij</w:t>
      </w:r>
      <w:r w:rsidR="00BB7803">
        <w:rPr>
          <w:rFonts w:ascii="Arial" w:hAnsi="Arial" w:cs="Arial"/>
          <w:sz w:val="22"/>
          <w:szCs w:val="22"/>
        </w:rPr>
        <w:t>a</w:t>
      </w:r>
      <w:r w:rsidR="00A83D36">
        <w:rPr>
          <w:rFonts w:ascii="Arial" w:hAnsi="Arial" w:cs="Arial"/>
          <w:sz w:val="22"/>
          <w:szCs w:val="22"/>
        </w:rPr>
        <w:t>, stanovanjska skupina Nova Gorica</w:t>
      </w:r>
      <w:r>
        <w:rPr>
          <w:rFonts w:ascii="Arial" w:hAnsi="Arial" w:cs="Arial"/>
          <w:sz w:val="22"/>
          <w:szCs w:val="22"/>
        </w:rPr>
        <w:t xml:space="preserve"> </w:t>
      </w:r>
      <w:r w:rsidR="001F42DF">
        <w:rPr>
          <w:rFonts w:ascii="Arial" w:hAnsi="Arial" w:cs="Arial"/>
          <w:sz w:val="22"/>
          <w:szCs w:val="22"/>
        </w:rPr>
        <w:t xml:space="preserve">zaprosila za doplačevanje storitve nadomestne oblike bivanja in oskrbe izven javne mreže </w:t>
      </w:r>
      <w:r>
        <w:rPr>
          <w:rFonts w:ascii="Arial" w:hAnsi="Arial" w:cs="Arial"/>
          <w:sz w:val="22"/>
          <w:szCs w:val="22"/>
        </w:rPr>
        <w:t>za občan</w:t>
      </w:r>
      <w:r w:rsidR="00BB78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Občine Komen, ki </w:t>
      </w:r>
      <w:r w:rsidR="00A83D36">
        <w:rPr>
          <w:rFonts w:ascii="Arial" w:hAnsi="Arial" w:cs="Arial"/>
          <w:sz w:val="22"/>
          <w:szCs w:val="22"/>
        </w:rPr>
        <w:t>je dolgoletni uporabnik psihiatričnih storitev</w:t>
      </w:r>
      <w:r w:rsidR="00B905DC">
        <w:rPr>
          <w:rFonts w:ascii="Arial" w:hAnsi="Arial" w:cs="Arial"/>
          <w:sz w:val="22"/>
          <w:szCs w:val="22"/>
        </w:rPr>
        <w:t xml:space="preserve"> in potrebuje pomoč pri socialni rehabilitaciji</w:t>
      </w:r>
      <w:r>
        <w:rPr>
          <w:rFonts w:ascii="Arial" w:hAnsi="Arial" w:cs="Arial"/>
          <w:sz w:val="22"/>
          <w:szCs w:val="22"/>
        </w:rPr>
        <w:t xml:space="preserve">. </w:t>
      </w:r>
      <w:r w:rsidR="00B905DC">
        <w:rPr>
          <w:rFonts w:ascii="Arial" w:hAnsi="Arial" w:cs="Arial"/>
          <w:sz w:val="22"/>
          <w:szCs w:val="22"/>
        </w:rPr>
        <w:t xml:space="preserve">Občan je </w:t>
      </w:r>
      <w:r w:rsidR="00D47323">
        <w:rPr>
          <w:rFonts w:ascii="Arial" w:hAnsi="Arial" w:cs="Arial"/>
          <w:sz w:val="22"/>
          <w:szCs w:val="22"/>
        </w:rPr>
        <w:t xml:space="preserve">od 29. 11. 2021 </w:t>
      </w:r>
      <w:r w:rsidR="00B905DC">
        <w:rPr>
          <w:rFonts w:ascii="Arial" w:hAnsi="Arial" w:cs="Arial"/>
          <w:sz w:val="22"/>
          <w:szCs w:val="22"/>
        </w:rPr>
        <w:t>vključen v stanovanjsko skupino Nova Gorica, kjer se socialno v</w:t>
      </w:r>
      <w:r w:rsidR="00D130E6" w:rsidRPr="0052048F">
        <w:rPr>
          <w:rFonts w:ascii="Arial" w:hAnsi="Arial" w:cs="Arial"/>
          <w:sz w:val="22"/>
          <w:szCs w:val="22"/>
        </w:rPr>
        <w:t>arstvena storitev opravlja izven mreže javne službe</w:t>
      </w:r>
      <w:r w:rsidRPr="0052048F">
        <w:rPr>
          <w:rFonts w:ascii="Arial" w:hAnsi="Arial" w:cs="Arial"/>
          <w:sz w:val="22"/>
          <w:szCs w:val="22"/>
        </w:rPr>
        <w:t xml:space="preserve">. </w:t>
      </w:r>
    </w:p>
    <w:p w:rsidR="007A4918" w:rsidRPr="007A4918" w:rsidRDefault="007A4918" w:rsidP="007D2380">
      <w:pPr>
        <w:jc w:val="both"/>
        <w:rPr>
          <w:rFonts w:ascii="Arial" w:hAnsi="Arial" w:cs="Arial"/>
          <w:sz w:val="22"/>
          <w:szCs w:val="22"/>
        </w:rPr>
      </w:pPr>
    </w:p>
    <w:p w:rsidR="002623E3" w:rsidRDefault="00B01E6A" w:rsidP="00B029C7">
      <w:pPr>
        <w:pStyle w:val="Telobesedila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podlagi 99. člena </w:t>
      </w:r>
      <w:r w:rsidR="00754486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ako</w:t>
      </w:r>
      <w:r w:rsidR="00302555">
        <w:rPr>
          <w:rFonts w:ascii="Arial" w:hAnsi="Arial"/>
          <w:sz w:val="22"/>
          <w:szCs w:val="22"/>
        </w:rPr>
        <w:t xml:space="preserve">na </w:t>
      </w:r>
      <w:r w:rsidR="00BA17F7">
        <w:rPr>
          <w:rFonts w:ascii="Arial" w:hAnsi="Arial"/>
          <w:sz w:val="22"/>
          <w:szCs w:val="22"/>
        </w:rPr>
        <w:t xml:space="preserve">o socialnem varstvu </w:t>
      </w:r>
      <w:r w:rsidR="00BA17F7" w:rsidRPr="00BA17F7">
        <w:rPr>
          <w:rFonts w:ascii="Arial" w:hAnsi="Arial" w:cs="Arial"/>
          <w:sz w:val="22"/>
          <w:szCs w:val="22"/>
        </w:rPr>
        <w:t xml:space="preserve">(Uradni list RS, št. </w:t>
      </w:r>
      <w:hyperlink r:id="rId5" w:tgtFrame="_blank" w:tooltip="Zakon o socialnem varstvu (uradno prečiščeno besedilo)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3/07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6" w:tgtFrame="_blank" w:tooltip="Popravek Uradnega prečiščenega besedila Zakona o socialnem varstvu (ZSV-UPB2)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23/07 – </w:t>
        </w:r>
        <w:proofErr w:type="spellStart"/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7" w:tgtFrame="_blank" w:tooltip="Popravek Zakona o socialnem varstvu – uradno prečiščeno besedilo (ZSV-UPB2)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41/07 – </w:t>
        </w:r>
        <w:proofErr w:type="spellStart"/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Zakon o socialno varstvenih prejemkih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61/10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A17F7" w:rsidRPr="00BA17F7">
        <w:rPr>
          <w:rFonts w:ascii="Arial" w:hAnsi="Arial" w:cs="Arial"/>
          <w:sz w:val="22"/>
          <w:szCs w:val="22"/>
        </w:rPr>
        <w:t>ZSVarPre</w:t>
      </w:r>
      <w:proofErr w:type="spellEnd"/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9" w:tgtFrame="_blank" w:tooltip="Zakon o uveljavljanju pravic iz javnih sredstev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62/10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ZUPJS, </w:t>
      </w:r>
      <w:hyperlink r:id="rId10" w:tgtFrame="_blank" w:tooltip="Zakon o dopolnitvi Zakona o socialnem varstvu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57/12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1" w:tgtFrame="_blank" w:tooltip="Zakon o spremembah in dopolnitvah Zakona o socialnem varstvu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39/16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2" w:tgtFrame="_blank" w:tooltip="Zakon o prijavi prebivališča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52/16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ZPPreb-1, </w:t>
      </w:r>
      <w:hyperlink r:id="rId13" w:tgtFrame="_blank" w:tooltip="Družinski zakonik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15/17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DZ, </w:t>
      </w:r>
      <w:hyperlink r:id="rId14" w:tgtFrame="_blank" w:tooltip="Zakon o dopolnitvah Zakona o socialnem varstvu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29/17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5" w:tgtFrame="_blank" w:tooltip="Zakon o spremembah in dopolnitvah Zakona o socialnem varstvu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54/17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6" w:tgtFrame="_blank" w:tooltip="Zakon o nevladnih organizacijah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21/18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A17F7" w:rsidRPr="00BA17F7">
        <w:rPr>
          <w:rFonts w:ascii="Arial" w:hAnsi="Arial" w:cs="Arial"/>
          <w:sz w:val="22"/>
          <w:szCs w:val="22"/>
        </w:rPr>
        <w:t>ZNOrg</w:t>
      </w:r>
      <w:proofErr w:type="spellEnd"/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7" w:tgtFrame="_blank" w:tooltip="Zakon o spremembah in dopolnitvah Zakona o osebni asistenci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31/18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ZOA-A, </w:t>
      </w:r>
      <w:hyperlink r:id="rId18" w:tgtFrame="_blank" w:tooltip="Zakon o spremembah in dopolnitvah Zakona o socialnem varstvu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28/19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, </w:t>
      </w:r>
      <w:hyperlink r:id="rId19" w:tgtFrame="_blank" w:tooltip="Zakon o finančni razbremenitvi občin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189/20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ZFRO in </w:t>
      </w:r>
      <w:hyperlink r:id="rId20" w:tgtFrame="_blank" w:tooltip="Zakon o dolgotrajni oskrbi" w:history="1">
        <w:r w:rsidR="00BA17F7" w:rsidRPr="00BA17F7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196/21</w:t>
        </w:r>
      </w:hyperlink>
      <w:r w:rsidR="00BA17F7" w:rsidRPr="00BA17F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A17F7" w:rsidRPr="00BA17F7">
        <w:rPr>
          <w:rFonts w:ascii="Arial" w:hAnsi="Arial" w:cs="Arial"/>
          <w:sz w:val="22"/>
          <w:szCs w:val="22"/>
        </w:rPr>
        <w:t>ZDOsk</w:t>
      </w:r>
      <w:proofErr w:type="spellEnd"/>
      <w:r w:rsidR="00BA17F7">
        <w:rPr>
          <w:rFonts w:ascii="Arial" w:hAnsi="Arial" w:cs="Arial"/>
          <w:sz w:val="22"/>
          <w:szCs w:val="22"/>
        </w:rPr>
        <w:t xml:space="preserve"> - v nadaljevanju: zakon</w:t>
      </w:r>
      <w:r w:rsidR="00BA17F7" w:rsidRPr="00BA17F7">
        <w:rPr>
          <w:rFonts w:ascii="Arial" w:hAnsi="Arial" w:cs="Arial"/>
          <w:sz w:val="22"/>
          <w:szCs w:val="22"/>
        </w:rPr>
        <w:t>)</w:t>
      </w:r>
      <w:r w:rsidR="00BA1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 iz proračuna občine financirajo stroški storitev v zavodih za odrasle, kadar je upravičenec oziroma drug zavezanec delno ali v celoti oproščen plačila, </w:t>
      </w:r>
      <w:r w:rsidR="00937D71">
        <w:rPr>
          <w:rFonts w:ascii="Arial" w:hAnsi="Arial"/>
          <w:sz w:val="22"/>
          <w:szCs w:val="22"/>
        </w:rPr>
        <w:t>vendar le</w:t>
      </w:r>
      <w:r>
        <w:rPr>
          <w:rFonts w:ascii="Arial" w:hAnsi="Arial"/>
          <w:sz w:val="22"/>
          <w:szCs w:val="22"/>
        </w:rPr>
        <w:t xml:space="preserve"> kadar se storitev opravlja v okviru javne službe.</w:t>
      </w:r>
      <w:r w:rsidR="00302555">
        <w:rPr>
          <w:rFonts w:ascii="Arial" w:hAnsi="Arial"/>
          <w:sz w:val="22"/>
          <w:szCs w:val="22"/>
        </w:rPr>
        <w:t xml:space="preserve"> V primeru, </w:t>
      </w:r>
      <w:r w:rsidR="002623E3">
        <w:rPr>
          <w:rFonts w:ascii="Arial" w:hAnsi="Arial"/>
          <w:sz w:val="22"/>
          <w:szCs w:val="22"/>
        </w:rPr>
        <w:t>ko je upravičencu zagotovljena nadomestna oblika bivanja in oskrbe izven javne službe</w:t>
      </w:r>
      <w:r w:rsidR="00302555">
        <w:rPr>
          <w:rFonts w:ascii="Arial" w:hAnsi="Arial"/>
          <w:sz w:val="22"/>
          <w:szCs w:val="22"/>
        </w:rPr>
        <w:t xml:space="preserve">, kot v navedenem primeru, pa center za socialno delo, v skladu s 100. členom </w:t>
      </w:r>
      <w:r w:rsidR="00BA17F7">
        <w:rPr>
          <w:rFonts w:ascii="Arial" w:hAnsi="Arial"/>
          <w:sz w:val="22"/>
          <w:szCs w:val="22"/>
        </w:rPr>
        <w:t>z</w:t>
      </w:r>
      <w:r w:rsidR="00302555">
        <w:rPr>
          <w:rFonts w:ascii="Arial" w:hAnsi="Arial"/>
          <w:sz w:val="22"/>
          <w:szCs w:val="22"/>
        </w:rPr>
        <w:t>akona, lahko za upravičence do institucionalnega varstva</w:t>
      </w:r>
      <w:r w:rsidR="00937D71">
        <w:rPr>
          <w:rFonts w:ascii="Arial" w:hAnsi="Arial"/>
          <w:sz w:val="22"/>
          <w:szCs w:val="22"/>
        </w:rPr>
        <w:t xml:space="preserve">, </w:t>
      </w:r>
      <w:r w:rsidR="00302555">
        <w:rPr>
          <w:rFonts w:ascii="Arial" w:hAnsi="Arial"/>
          <w:sz w:val="22"/>
          <w:szCs w:val="22"/>
        </w:rPr>
        <w:t xml:space="preserve">določi oprostitev po merilih, ki jih predpiše Vlada </w:t>
      </w:r>
      <w:r w:rsidR="00D47323">
        <w:rPr>
          <w:rFonts w:ascii="Arial" w:hAnsi="Arial"/>
          <w:sz w:val="22"/>
          <w:szCs w:val="22"/>
        </w:rPr>
        <w:t>Republike Slovenije</w:t>
      </w:r>
      <w:r w:rsidR="002623E3">
        <w:rPr>
          <w:rFonts w:ascii="Arial" w:hAnsi="Arial"/>
          <w:sz w:val="22"/>
          <w:szCs w:val="22"/>
        </w:rPr>
        <w:t xml:space="preserve">. Center za socialno delo, v skladu z merili, ki jih vsebuje Uredba o merilih za določanje oprostitev pri plačilih socialno varstvenih storitev </w:t>
      </w:r>
      <w:r w:rsidR="00D47323" w:rsidRPr="00D47323">
        <w:rPr>
          <w:rFonts w:ascii="Arial" w:hAnsi="Arial" w:cs="Arial"/>
          <w:sz w:val="22"/>
          <w:szCs w:val="22"/>
        </w:rPr>
        <w:t xml:space="preserve">(Uradni list RS, št. </w:t>
      </w:r>
      <w:hyperlink r:id="rId21" w:tgtFrame="_blank" w:tooltip="Uredba o merilih za določanje oprostitev pri plačilih socialno varstvenih storitev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110/04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, </w:t>
      </w:r>
      <w:hyperlink r:id="rId22" w:tgtFrame="_blank" w:tooltip="Uredba o spremembi in dopolnitvi Uredbe o merilih za določanje oprostitev pri plačilih socialno varstvenih storitev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124/04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, </w:t>
      </w:r>
      <w:hyperlink r:id="rId23" w:tgtFrame="_blank" w:tooltip="Zakon o usklajevanju transferjev posameznikom in gospodinjstvom v Republiki Sloveniji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114/06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 – ZUTPG, </w:t>
      </w:r>
      <w:hyperlink r:id="rId24" w:tgtFrame="_blank" w:tooltip="Zakon o uveljavljanju pravic iz javnih sredstev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62/10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 – ZUPJS, </w:t>
      </w:r>
      <w:hyperlink r:id="rId25" w:tgtFrame="_blank" w:tooltip="Zakon o spremembah in dopolnitvah Zakona o uveljavljanju pravic iz javnih sredstev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99/13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 – ZUPJS-C in </w:t>
      </w:r>
      <w:hyperlink r:id="rId26" w:tgtFrame="_blank" w:tooltip="Uredba o spremembi in dopolnitvi Uredbe o merilih za določanje oprostitev pri plačilih socialno varstvenih storitev" w:history="1">
        <w:r w:rsidR="00D47323" w:rsidRPr="00D4732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42/15</w:t>
        </w:r>
      </w:hyperlink>
      <w:r w:rsidR="00D47323" w:rsidRPr="00D47323">
        <w:rPr>
          <w:rFonts w:ascii="Arial" w:hAnsi="Arial" w:cs="Arial"/>
          <w:sz w:val="22"/>
          <w:szCs w:val="22"/>
        </w:rPr>
        <w:t xml:space="preserve"> – v nadaljevanju: uredba)</w:t>
      </w:r>
      <w:r w:rsidR="002623E3">
        <w:rPr>
          <w:rFonts w:ascii="Arial" w:hAnsi="Arial"/>
          <w:sz w:val="22"/>
          <w:szCs w:val="22"/>
        </w:rPr>
        <w:t xml:space="preserve"> odloči o delni ali celotni oprostitvi plačila storitve. </w:t>
      </w:r>
    </w:p>
    <w:p w:rsidR="002623E3" w:rsidRDefault="002623E3" w:rsidP="00B029C7">
      <w:pPr>
        <w:pStyle w:val="Telobesedila2"/>
        <w:rPr>
          <w:rFonts w:ascii="Arial" w:hAnsi="Arial"/>
          <w:sz w:val="22"/>
          <w:szCs w:val="22"/>
        </w:rPr>
      </w:pPr>
    </w:p>
    <w:p w:rsidR="000637FC" w:rsidRPr="000637FC" w:rsidRDefault="002623E3" w:rsidP="000637FC">
      <w:pPr>
        <w:jc w:val="both"/>
        <w:rPr>
          <w:rFonts w:ascii="Arial" w:hAnsi="Arial" w:cs="Arial"/>
          <w:sz w:val="22"/>
          <w:szCs w:val="22"/>
        </w:rPr>
      </w:pPr>
      <w:r w:rsidRPr="000637FC">
        <w:rPr>
          <w:rFonts w:ascii="Arial" w:hAnsi="Arial" w:cs="Arial"/>
          <w:sz w:val="22"/>
          <w:szCs w:val="22"/>
        </w:rPr>
        <w:t xml:space="preserve">V skladu </w:t>
      </w:r>
      <w:r w:rsidR="000637FC" w:rsidRPr="000637FC">
        <w:rPr>
          <w:rFonts w:ascii="Arial" w:hAnsi="Arial" w:cs="Arial"/>
          <w:sz w:val="22"/>
          <w:szCs w:val="22"/>
        </w:rPr>
        <w:t>s</w:t>
      </w:r>
      <w:r w:rsidRPr="000637FC">
        <w:rPr>
          <w:rFonts w:ascii="Arial" w:hAnsi="Arial" w:cs="Arial"/>
          <w:sz w:val="22"/>
          <w:szCs w:val="22"/>
        </w:rPr>
        <w:t xml:space="preserve"> 4. člen</w:t>
      </w:r>
      <w:r w:rsidR="000637FC" w:rsidRPr="000637FC">
        <w:rPr>
          <w:rFonts w:ascii="Arial" w:hAnsi="Arial" w:cs="Arial"/>
          <w:sz w:val="22"/>
          <w:szCs w:val="22"/>
        </w:rPr>
        <w:t>om</w:t>
      </w:r>
      <w:r w:rsidRPr="000637FC">
        <w:rPr>
          <w:rFonts w:ascii="Arial" w:hAnsi="Arial" w:cs="Arial"/>
          <w:sz w:val="22"/>
          <w:szCs w:val="22"/>
        </w:rPr>
        <w:t xml:space="preserve"> uredbe so upravičenci do nadomestne oblike bivanja in oskrbe izven javne mreže osebe, ki se skladno s predpisanimi standardi socialno varstvenih storitev štejejo kot upravičenci do institucionalnega varstva. </w:t>
      </w:r>
      <w:r w:rsidR="000637FC">
        <w:rPr>
          <w:rFonts w:ascii="Arial" w:hAnsi="Arial" w:cs="Arial"/>
          <w:sz w:val="22"/>
          <w:szCs w:val="22"/>
        </w:rPr>
        <w:t>Z</w:t>
      </w:r>
      <w:r w:rsidR="000637FC" w:rsidRPr="000637FC">
        <w:rPr>
          <w:rFonts w:ascii="Arial" w:hAnsi="Arial" w:cs="Arial"/>
          <w:sz w:val="22"/>
          <w:szCs w:val="22"/>
        </w:rPr>
        <w:t xml:space="preserve">a nadomestno obliko bivanja in oskrbe, za katero je možno uveljavljati oprostitev po uredbi, se šteje zagotavljanje storitev pri izvajalcu izven mreže javne službe, ki je o izvajanju programa oziroma storitve z uporabnikom storitve in občino, v kateri ima upravičenec stalno prebivališče, sklenil dogovor, s katerim se je občina zavezala za plačilo ali doplačilo, in izvaja program stanovanjske skupine ali bivalne skupnosti in ima strokovno verifikacijo javnega socialnovarstvenega programa ter z lokalno skupnostjo dogovorjeno višino doplačila na podlagi prejete ponudbe izvajalca programa, ki vsebuje finančno konstrukcijo vseh stroškov programa z zagotovljenimi viri financiranja programa. </w:t>
      </w:r>
    </w:p>
    <w:p w:rsidR="005C6D5C" w:rsidRPr="000637FC" w:rsidRDefault="005C6D5C" w:rsidP="000637FC">
      <w:pPr>
        <w:pStyle w:val="Telobesedila2"/>
        <w:rPr>
          <w:rFonts w:ascii="Arial" w:hAnsi="Arial" w:cs="Arial"/>
          <w:sz w:val="22"/>
          <w:szCs w:val="22"/>
        </w:rPr>
      </w:pPr>
    </w:p>
    <w:p w:rsidR="00B01E6A" w:rsidRDefault="00B01E6A" w:rsidP="00B029C7">
      <w:pPr>
        <w:pStyle w:val="Telobesedila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 oprostitvah pri plačilu navedene storitve odloča pristojni organ občine, ki lahko </w:t>
      </w:r>
      <w:r w:rsidR="009C7DF4">
        <w:rPr>
          <w:rFonts w:ascii="Arial" w:hAnsi="Arial"/>
          <w:sz w:val="22"/>
          <w:szCs w:val="22"/>
        </w:rPr>
        <w:t>v skladu s 7. členom uredbe s centrom za socialno delo sklene pogodbo o vodenju postopkov.</w:t>
      </w:r>
    </w:p>
    <w:p w:rsidR="009C7DF4" w:rsidRDefault="009C7DF4" w:rsidP="00B029C7">
      <w:pPr>
        <w:pStyle w:val="Telobesedila2"/>
        <w:rPr>
          <w:rFonts w:ascii="Arial" w:hAnsi="Arial"/>
          <w:sz w:val="22"/>
          <w:szCs w:val="22"/>
        </w:rPr>
      </w:pPr>
    </w:p>
    <w:p w:rsidR="000B688C" w:rsidRDefault="00A22C26" w:rsidP="00E65247">
      <w:pPr>
        <w:pStyle w:val="Telobesedila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Ker je </w:t>
      </w:r>
      <w:r w:rsidR="009951F5">
        <w:rPr>
          <w:rFonts w:ascii="Arial" w:hAnsi="Arial"/>
          <w:sz w:val="22"/>
          <w:szCs w:val="22"/>
        </w:rPr>
        <w:t>b</w:t>
      </w:r>
      <w:r w:rsidR="00937D71">
        <w:rPr>
          <w:rFonts w:ascii="Arial" w:hAnsi="Arial"/>
          <w:sz w:val="22"/>
          <w:szCs w:val="22"/>
        </w:rPr>
        <w:t xml:space="preserve">ivanje v stanovanjski skupnosti za uporabnika prijaznejše, </w:t>
      </w:r>
      <w:proofErr w:type="spellStart"/>
      <w:r w:rsidR="00937D71">
        <w:rPr>
          <w:rFonts w:ascii="Arial" w:hAnsi="Arial"/>
          <w:sz w:val="22"/>
          <w:szCs w:val="22"/>
        </w:rPr>
        <w:t>individualnejše</w:t>
      </w:r>
      <w:proofErr w:type="spellEnd"/>
      <w:r w:rsidR="00937D71">
        <w:rPr>
          <w:rFonts w:ascii="Arial" w:hAnsi="Arial"/>
          <w:sz w:val="22"/>
          <w:szCs w:val="22"/>
        </w:rPr>
        <w:t xml:space="preserve"> ter </w:t>
      </w:r>
      <w:r w:rsidR="009951F5">
        <w:rPr>
          <w:rFonts w:ascii="Arial" w:hAnsi="Arial"/>
          <w:sz w:val="22"/>
          <w:szCs w:val="22"/>
        </w:rPr>
        <w:t xml:space="preserve">mu </w:t>
      </w:r>
      <w:r w:rsidR="00937D71">
        <w:rPr>
          <w:rFonts w:ascii="Arial" w:hAnsi="Arial"/>
          <w:sz w:val="22"/>
          <w:szCs w:val="22"/>
        </w:rPr>
        <w:t xml:space="preserve">omogoča </w:t>
      </w:r>
      <w:r w:rsidR="009951F5">
        <w:rPr>
          <w:rFonts w:ascii="Arial" w:hAnsi="Arial"/>
          <w:sz w:val="22"/>
          <w:szCs w:val="22"/>
        </w:rPr>
        <w:t>hitrejšo</w:t>
      </w:r>
      <w:r w:rsidR="00937D71">
        <w:rPr>
          <w:rFonts w:ascii="Arial" w:hAnsi="Arial"/>
          <w:sz w:val="22"/>
          <w:szCs w:val="22"/>
        </w:rPr>
        <w:t xml:space="preserve"> psi</w:t>
      </w:r>
      <w:r>
        <w:rPr>
          <w:rFonts w:ascii="Arial" w:hAnsi="Arial"/>
          <w:sz w:val="22"/>
          <w:szCs w:val="22"/>
        </w:rPr>
        <w:t>hosocialno rehabilitacijo predlagam, da</w:t>
      </w:r>
      <w:r w:rsidR="000B688C">
        <w:rPr>
          <w:rFonts w:ascii="Arial" w:hAnsi="Arial"/>
          <w:sz w:val="22"/>
          <w:szCs w:val="22"/>
        </w:rPr>
        <w:t xml:space="preserve"> Občinski svet </w:t>
      </w:r>
      <w:r>
        <w:rPr>
          <w:rFonts w:ascii="Arial" w:hAnsi="Arial"/>
          <w:sz w:val="22"/>
          <w:szCs w:val="22"/>
        </w:rPr>
        <w:t xml:space="preserve">Občine Komen </w:t>
      </w:r>
      <w:r w:rsidR="000B688C">
        <w:rPr>
          <w:rFonts w:ascii="Arial" w:hAnsi="Arial"/>
          <w:sz w:val="22"/>
          <w:szCs w:val="22"/>
        </w:rPr>
        <w:t xml:space="preserve">izda soglasje k doplačevanju oziroma plačevanju storitve občanu, ki </w:t>
      </w:r>
      <w:r w:rsidR="00680781">
        <w:rPr>
          <w:rFonts w:ascii="Arial" w:hAnsi="Arial"/>
          <w:sz w:val="22"/>
          <w:szCs w:val="22"/>
        </w:rPr>
        <w:t>bo</w:t>
      </w:r>
      <w:r w:rsidR="000B688C">
        <w:rPr>
          <w:rFonts w:ascii="Arial" w:hAnsi="Arial"/>
          <w:sz w:val="22"/>
          <w:szCs w:val="22"/>
        </w:rPr>
        <w:t xml:space="preserve"> nameščen v </w:t>
      </w:r>
      <w:r>
        <w:rPr>
          <w:rFonts w:ascii="Arial" w:hAnsi="Arial"/>
          <w:sz w:val="22"/>
          <w:szCs w:val="22"/>
        </w:rPr>
        <w:t>Stanovanjski skupini OZARA Slovenija, enoti Nova Gorica</w:t>
      </w:r>
      <w:r w:rsidR="000B688C">
        <w:rPr>
          <w:rFonts w:ascii="Arial" w:hAnsi="Arial"/>
          <w:sz w:val="22"/>
          <w:szCs w:val="22"/>
        </w:rPr>
        <w:t>.</w:t>
      </w:r>
    </w:p>
    <w:p w:rsidR="000B688C" w:rsidRDefault="000B688C" w:rsidP="00E65247">
      <w:pPr>
        <w:pStyle w:val="Telobesedila2"/>
        <w:rPr>
          <w:rFonts w:ascii="Arial" w:hAnsi="Arial"/>
          <w:sz w:val="22"/>
          <w:szCs w:val="22"/>
        </w:rPr>
      </w:pPr>
    </w:p>
    <w:p w:rsidR="00791ECD" w:rsidRPr="00871EFA" w:rsidRDefault="00791ECD" w:rsidP="00791ECD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  <w:r w:rsidRPr="00871EFA">
        <w:rPr>
          <w:rFonts w:ascii="Arial" w:hAnsi="Arial" w:cs="Arial"/>
          <w:color w:val="000000"/>
          <w:spacing w:val="2"/>
          <w:sz w:val="22"/>
          <w:szCs w:val="22"/>
        </w:rPr>
        <w:t xml:space="preserve">V skladu z 62. členom Poslovnika Občinskega sveta Občine Komen (Uradni list RS, </w:t>
      </w:r>
      <w:r w:rsidRPr="00871EFA">
        <w:rPr>
          <w:rFonts w:ascii="Arial" w:hAnsi="Arial" w:cs="Arial"/>
          <w:color w:val="000000"/>
          <w:sz w:val="22"/>
          <w:szCs w:val="22"/>
        </w:rPr>
        <w:t>št. 80/09, 39/14) bo predlog sklepa pred sejo občinskega sveta obravnaval Odbor za negospodarstvo in družbene dejavnosti</w:t>
      </w:r>
      <w:r w:rsidRPr="00871EFA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:rsidR="00791ECD" w:rsidRPr="0088481D" w:rsidRDefault="00791ECD" w:rsidP="00B029C7">
      <w:pPr>
        <w:pStyle w:val="Telobesedila2"/>
        <w:rPr>
          <w:rFonts w:ascii="Arial" w:hAnsi="Arial"/>
          <w:sz w:val="22"/>
          <w:szCs w:val="22"/>
        </w:rPr>
      </w:pPr>
    </w:p>
    <w:p w:rsidR="00B029C7" w:rsidRPr="00EB207C" w:rsidRDefault="00B029C7" w:rsidP="00B029C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  <w:b/>
          <w:snapToGrid/>
          <w:sz w:val="22"/>
          <w:szCs w:val="22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37"/>
        <w:gridCol w:w="4139"/>
      </w:tblGrid>
      <w:tr w:rsidR="00935D11" w:rsidTr="00935D11">
        <w:tc>
          <w:tcPr>
            <w:tcW w:w="5637" w:type="dxa"/>
            <w:hideMark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11" w:rsidTr="00935D11">
        <w:tc>
          <w:tcPr>
            <w:tcW w:w="5637" w:type="dxa"/>
            <w:hideMark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višja </w:t>
            </w:r>
            <w:r w:rsidR="00935D11">
              <w:rPr>
                <w:rFonts w:ascii="Arial" w:hAnsi="Arial" w:cs="Arial"/>
                <w:sz w:val="20"/>
                <w:szCs w:val="20"/>
              </w:rPr>
              <w:t xml:space="preserve">svetovalka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35D1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right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D50E9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35D11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BC01C5" w:rsidRDefault="00BC01C5" w:rsidP="00B029C7">
      <w:pPr>
        <w:rPr>
          <w:rFonts w:ascii="Arial" w:hAnsi="Arial"/>
          <w:sz w:val="22"/>
          <w:szCs w:val="22"/>
        </w:rPr>
      </w:pPr>
    </w:p>
    <w:p w:rsidR="005E6571" w:rsidRDefault="005E6571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972A76" w:rsidRDefault="00972A76" w:rsidP="00B029C7">
      <w:pPr>
        <w:rPr>
          <w:rFonts w:ascii="Arial" w:hAnsi="Arial"/>
          <w:sz w:val="22"/>
          <w:szCs w:val="22"/>
        </w:rPr>
      </w:pPr>
    </w:p>
    <w:p w:rsidR="00BC01C5" w:rsidRDefault="00BC01C5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B029C7" w:rsidRPr="00CD6B19" w:rsidRDefault="00B029C7" w:rsidP="00B029C7">
      <w:pPr>
        <w:rPr>
          <w:rFonts w:ascii="Arial" w:hAnsi="Arial"/>
          <w:sz w:val="20"/>
          <w:szCs w:val="20"/>
        </w:rPr>
      </w:pPr>
      <w:r w:rsidRPr="00CD6B19">
        <w:rPr>
          <w:rFonts w:ascii="Arial" w:hAnsi="Arial"/>
          <w:sz w:val="20"/>
          <w:szCs w:val="20"/>
        </w:rPr>
        <w:t>Priloge:</w:t>
      </w:r>
    </w:p>
    <w:p w:rsidR="00B029C7" w:rsidRDefault="00B029C7" w:rsidP="00B029C7">
      <w:pPr>
        <w:pStyle w:val="DefinitionTerm"/>
        <w:rPr>
          <w:rFonts w:ascii="Arial" w:hAnsi="Arial"/>
          <w:snapToGrid/>
          <w:sz w:val="20"/>
        </w:rPr>
      </w:pPr>
      <w:r w:rsidRPr="00CD6B19">
        <w:rPr>
          <w:rFonts w:ascii="Arial" w:hAnsi="Arial"/>
          <w:snapToGrid/>
          <w:sz w:val="20"/>
        </w:rPr>
        <w:t>- predlog sklepa</w:t>
      </w:r>
    </w:p>
    <w:p w:rsidR="00791ECD" w:rsidRDefault="00791ECD" w:rsidP="00791ECD">
      <w:pPr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- struktura cene programa Mreža stanovanjskih skupin za leto 2021</w:t>
      </w:r>
    </w:p>
    <w:p w:rsidR="007A3109" w:rsidRPr="00791ECD" w:rsidRDefault="007A3109" w:rsidP="00791ECD">
      <w:pPr>
        <w:rPr>
          <w:rFonts w:ascii="Arial" w:hAnsi="Arial" w:cs="Arial"/>
          <w:sz w:val="20"/>
          <w:szCs w:val="20"/>
        </w:rPr>
      </w:pPr>
    </w:p>
    <w:p w:rsidR="00B029C7" w:rsidRPr="00CD6B19" w:rsidRDefault="00B029C7" w:rsidP="00B029C7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5E6571" w:rsidRPr="00A22B9A" w:rsidTr="00103EA0">
        <w:tc>
          <w:tcPr>
            <w:tcW w:w="2088" w:type="dxa"/>
          </w:tcPr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590550" cy="70485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Občina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Komen 86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6223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2" w:type="dxa"/>
          </w:tcPr>
          <w:p w:rsidR="005E6571" w:rsidRPr="00CC1B11" w:rsidRDefault="005E6571" w:rsidP="00103EA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i/>
                <w:sz w:val="20"/>
                <w:szCs w:val="20"/>
              </w:rPr>
              <w:t>PREDLOG SKLEPA</w:t>
            </w:r>
          </w:p>
        </w:tc>
      </w:tr>
    </w:tbl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Številka: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Datum: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7176C0" w:rsidRPr="00D17D8B" w:rsidRDefault="003218DB" w:rsidP="003218DB">
      <w:pPr>
        <w:jc w:val="both"/>
        <w:rPr>
          <w:rFonts w:ascii="Arial" w:hAnsi="Arial" w:cs="Arial"/>
          <w:i/>
          <w:sz w:val="22"/>
          <w:szCs w:val="22"/>
        </w:rPr>
      </w:pPr>
      <w:r w:rsidRPr="003218DB">
        <w:rPr>
          <w:rFonts w:ascii="Arial" w:hAnsi="Arial"/>
          <w:i/>
          <w:sz w:val="22"/>
          <w:szCs w:val="22"/>
        </w:rPr>
        <w:t xml:space="preserve">Na podlagi 16. člena Statuta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(Uradni list RS, št.</w:t>
      </w:r>
      <w:r>
        <w:rPr>
          <w:rFonts w:ascii="Arial" w:hAnsi="Arial"/>
          <w:i/>
          <w:sz w:val="22"/>
          <w:szCs w:val="22"/>
        </w:rPr>
        <w:t xml:space="preserve"> 80/09</w:t>
      </w:r>
      <w:r w:rsidR="005E6571">
        <w:rPr>
          <w:rFonts w:ascii="Arial" w:hAnsi="Arial"/>
          <w:i/>
          <w:sz w:val="22"/>
          <w:szCs w:val="22"/>
        </w:rPr>
        <w:t>, 39/14</w:t>
      </w:r>
      <w:r w:rsidR="0051540F">
        <w:rPr>
          <w:rFonts w:ascii="Arial" w:hAnsi="Arial"/>
          <w:i/>
          <w:sz w:val="22"/>
          <w:szCs w:val="22"/>
        </w:rPr>
        <w:t>, 39/16</w:t>
      </w:r>
      <w:r w:rsidR="00ED0700">
        <w:rPr>
          <w:rFonts w:ascii="Arial" w:hAnsi="Arial"/>
          <w:i/>
          <w:sz w:val="22"/>
          <w:szCs w:val="22"/>
        </w:rPr>
        <w:t>)</w:t>
      </w:r>
      <w:r w:rsidRPr="003218DB">
        <w:rPr>
          <w:rFonts w:ascii="Arial" w:hAnsi="Arial"/>
          <w:i/>
          <w:sz w:val="22"/>
          <w:szCs w:val="22"/>
        </w:rPr>
        <w:t xml:space="preserve"> je Občinski svet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</w:t>
      </w:r>
      <w:r w:rsidR="007176C0" w:rsidRPr="00D17D8B">
        <w:rPr>
          <w:rFonts w:ascii="Arial" w:hAnsi="Arial" w:cs="Arial"/>
          <w:i/>
          <w:sz w:val="22"/>
          <w:szCs w:val="22"/>
        </w:rPr>
        <w:t xml:space="preserve">na svoji -----. redni seji, dne ------ sprejel naslednji </w:t>
      </w:r>
    </w:p>
    <w:p w:rsidR="007176C0" w:rsidRDefault="007176C0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E6571" w:rsidRPr="00D17D8B" w:rsidRDefault="005E6571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76C0" w:rsidRPr="001F069B" w:rsidRDefault="007176C0" w:rsidP="007176C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69B">
        <w:rPr>
          <w:rFonts w:ascii="Arial" w:hAnsi="Arial" w:cs="Arial"/>
          <w:b/>
          <w:i/>
          <w:sz w:val="22"/>
          <w:szCs w:val="22"/>
        </w:rPr>
        <w:t>SKLEP</w:t>
      </w: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E6571" w:rsidRDefault="005E6571" w:rsidP="005E6571">
      <w:pPr>
        <w:pStyle w:val="Telobesedila2"/>
        <w:jc w:val="center"/>
        <w:rPr>
          <w:rFonts w:ascii="Arial" w:hAnsi="Arial"/>
          <w:i/>
          <w:sz w:val="22"/>
          <w:szCs w:val="22"/>
        </w:rPr>
      </w:pPr>
      <w:r w:rsidRPr="005E6571">
        <w:rPr>
          <w:rFonts w:ascii="Arial" w:hAnsi="Arial"/>
          <w:i/>
          <w:sz w:val="22"/>
          <w:szCs w:val="22"/>
        </w:rPr>
        <w:t>1.</w:t>
      </w:r>
    </w:p>
    <w:p w:rsidR="00D40B73" w:rsidRPr="0051540F" w:rsidRDefault="00E65247" w:rsidP="0051540F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Občinski svet Občine Komen izdaja soglasje k plačilu oziroma doplačilu oskrbnih stroškov </w:t>
      </w:r>
      <w:r w:rsidR="0051540F">
        <w:rPr>
          <w:rFonts w:ascii="Arial" w:hAnsi="Arial"/>
          <w:i/>
          <w:sz w:val="22"/>
          <w:szCs w:val="22"/>
        </w:rPr>
        <w:t>občanu Občine Komen, navedenem v vlogi OZARA Slovenija z dne 8. 12. 202</w:t>
      </w:r>
      <w:r w:rsidR="004154AA">
        <w:rPr>
          <w:rFonts w:ascii="Arial" w:hAnsi="Arial"/>
          <w:i/>
          <w:sz w:val="22"/>
          <w:szCs w:val="22"/>
        </w:rPr>
        <w:t>1</w:t>
      </w:r>
      <w:r w:rsidR="0051540F">
        <w:rPr>
          <w:rFonts w:ascii="Arial" w:hAnsi="Arial"/>
          <w:i/>
          <w:sz w:val="22"/>
          <w:szCs w:val="22"/>
        </w:rPr>
        <w:t xml:space="preserve">, </w:t>
      </w:r>
      <w:r w:rsidR="00ED0700">
        <w:rPr>
          <w:rFonts w:ascii="Arial" w:hAnsi="Arial"/>
          <w:i/>
          <w:sz w:val="22"/>
          <w:szCs w:val="22"/>
        </w:rPr>
        <w:t xml:space="preserve">ki </w:t>
      </w:r>
      <w:r>
        <w:rPr>
          <w:rFonts w:ascii="Arial" w:hAnsi="Arial"/>
          <w:i/>
          <w:sz w:val="22"/>
          <w:szCs w:val="22"/>
        </w:rPr>
        <w:t>mu</w:t>
      </w:r>
      <w:r w:rsidR="00D97CE1">
        <w:rPr>
          <w:rFonts w:ascii="Arial" w:hAnsi="Arial"/>
          <w:i/>
          <w:sz w:val="22"/>
          <w:szCs w:val="22"/>
        </w:rPr>
        <w:t xml:space="preserve"> </w:t>
      </w:r>
      <w:r w:rsidR="0051540F">
        <w:rPr>
          <w:rFonts w:ascii="Arial" w:hAnsi="Arial"/>
          <w:i/>
          <w:sz w:val="22"/>
          <w:szCs w:val="22"/>
        </w:rPr>
        <w:t>je</w:t>
      </w:r>
      <w:r w:rsidR="00ED0700">
        <w:rPr>
          <w:rFonts w:ascii="Arial" w:hAnsi="Arial"/>
          <w:i/>
          <w:sz w:val="22"/>
          <w:szCs w:val="22"/>
        </w:rPr>
        <w:t xml:space="preserve"> </w:t>
      </w:r>
      <w:r w:rsidR="00ED0700" w:rsidRPr="0051540F">
        <w:rPr>
          <w:rFonts w:ascii="Arial" w:hAnsi="Arial"/>
          <w:i/>
          <w:sz w:val="22"/>
          <w:szCs w:val="22"/>
        </w:rPr>
        <w:t>zagotovljena nadomestna oblika bivanja in oskrbe izven mreže javne službe</w:t>
      </w:r>
      <w:r w:rsidRPr="0051540F">
        <w:rPr>
          <w:rFonts w:ascii="Arial" w:hAnsi="Arial"/>
          <w:i/>
          <w:sz w:val="22"/>
          <w:szCs w:val="22"/>
        </w:rPr>
        <w:t xml:space="preserve"> v </w:t>
      </w:r>
      <w:r w:rsidR="0051540F" w:rsidRPr="0051540F">
        <w:rPr>
          <w:rFonts w:ascii="Arial" w:hAnsi="Arial"/>
          <w:i/>
          <w:sz w:val="22"/>
          <w:szCs w:val="22"/>
        </w:rPr>
        <w:t>Stanovanjski skupini OZARA Slovenija, enoti Nova Gorica</w:t>
      </w:r>
      <w:r w:rsidR="0051540F">
        <w:rPr>
          <w:rFonts w:ascii="Arial" w:hAnsi="Arial"/>
          <w:i/>
          <w:sz w:val="22"/>
          <w:szCs w:val="22"/>
        </w:rPr>
        <w:t>.</w:t>
      </w:r>
    </w:p>
    <w:p w:rsidR="00E65247" w:rsidRDefault="00E65247" w:rsidP="002F4770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2F4770" w:rsidRDefault="00935D11" w:rsidP="002F4770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2</w:t>
      </w:r>
      <w:r w:rsidR="002F4770">
        <w:rPr>
          <w:rFonts w:ascii="Arial" w:hAnsi="Arial"/>
          <w:i/>
          <w:sz w:val="22"/>
          <w:szCs w:val="22"/>
        </w:rPr>
        <w:t>.</w:t>
      </w:r>
    </w:p>
    <w:p w:rsidR="00655172" w:rsidRDefault="00CD251F" w:rsidP="00CD251F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O delni </w:t>
      </w:r>
      <w:r w:rsidR="002903A7">
        <w:rPr>
          <w:rFonts w:ascii="Arial" w:hAnsi="Arial"/>
          <w:i/>
          <w:sz w:val="22"/>
          <w:szCs w:val="22"/>
        </w:rPr>
        <w:t xml:space="preserve">ali celotni </w:t>
      </w:r>
      <w:r>
        <w:rPr>
          <w:rFonts w:ascii="Arial" w:hAnsi="Arial"/>
          <w:i/>
          <w:sz w:val="22"/>
          <w:szCs w:val="22"/>
        </w:rPr>
        <w:t>oprostitvi plačila storitve odloči pristojni center za socialno delo v skladu s predpisi, ki določajo merila za določanje oprostitev pri plačilih socialno varstvenih storitev.</w:t>
      </w:r>
    </w:p>
    <w:p w:rsidR="00655172" w:rsidRPr="00C32EE2" w:rsidRDefault="00655172" w:rsidP="002F4770">
      <w:pPr>
        <w:pStyle w:val="Telobesedila2"/>
        <w:jc w:val="center"/>
        <w:rPr>
          <w:rFonts w:ascii="Arial" w:hAnsi="Arial" w:cs="Arial"/>
          <w:i/>
          <w:sz w:val="22"/>
          <w:szCs w:val="22"/>
        </w:rPr>
      </w:pPr>
    </w:p>
    <w:p w:rsidR="00655172" w:rsidRDefault="00655172" w:rsidP="002F4770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3.</w:t>
      </w:r>
    </w:p>
    <w:p w:rsidR="0050574F" w:rsidRPr="0050574F" w:rsidRDefault="0050574F" w:rsidP="0050574F">
      <w:pPr>
        <w:pStyle w:val="Telobesedila2"/>
        <w:rPr>
          <w:rFonts w:ascii="Arial" w:hAnsi="Arial"/>
          <w:i/>
          <w:sz w:val="22"/>
          <w:szCs w:val="22"/>
        </w:rPr>
      </w:pPr>
      <w:r w:rsidRPr="0050574F">
        <w:rPr>
          <w:rFonts w:ascii="Arial" w:hAnsi="Arial"/>
          <w:i/>
          <w:sz w:val="22"/>
          <w:szCs w:val="22"/>
        </w:rPr>
        <w:t>Ta sklep velja takoj.</w:t>
      </w:r>
      <w:r w:rsidR="00655172">
        <w:rPr>
          <w:rFonts w:ascii="Arial" w:hAnsi="Arial"/>
          <w:i/>
          <w:sz w:val="22"/>
          <w:szCs w:val="22"/>
        </w:rPr>
        <w:t xml:space="preserve"> Uporablja pa se od 29. 11. 2021.</w:t>
      </w: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655172" w:rsidP="00103EA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mag. Erik Modic</w:t>
            </w:r>
          </w:p>
        </w:tc>
      </w:tr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5E6571" w:rsidP="00103EA0">
            <w:pPr>
              <w:jc w:val="center"/>
              <w:rPr>
                <w:rFonts w:ascii="Arial" w:hAnsi="Arial" w:cs="Arial"/>
                <w:b/>
                <w:i/>
              </w:rPr>
            </w:pPr>
            <w:r w:rsidRPr="004B0FC8">
              <w:rPr>
                <w:rFonts w:ascii="Arial" w:hAnsi="Arial" w:cs="Arial"/>
                <w:b/>
                <w:i/>
                <w:sz w:val="22"/>
                <w:szCs w:val="22"/>
              </w:rPr>
              <w:t>župan</w:t>
            </w:r>
          </w:p>
        </w:tc>
      </w:tr>
    </w:tbl>
    <w:p w:rsidR="007176C0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E1C78" w:rsidRDefault="00DE1C78"/>
    <w:sectPr w:rsidR="00DE1C78" w:rsidSect="00DE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F79"/>
    <w:multiLevelType w:val="hybridMultilevel"/>
    <w:tmpl w:val="D08AE0C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F7D5F"/>
    <w:multiLevelType w:val="hybridMultilevel"/>
    <w:tmpl w:val="DAB63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F138C"/>
    <w:multiLevelType w:val="hybridMultilevel"/>
    <w:tmpl w:val="7F16F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771"/>
    <w:multiLevelType w:val="hybridMultilevel"/>
    <w:tmpl w:val="4B8A806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070D0"/>
    <w:multiLevelType w:val="hybridMultilevel"/>
    <w:tmpl w:val="77186784"/>
    <w:lvl w:ilvl="0" w:tplc="A00A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0094"/>
    <w:multiLevelType w:val="hybridMultilevel"/>
    <w:tmpl w:val="B17EDD16"/>
    <w:lvl w:ilvl="0" w:tplc="D2FA6D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42037"/>
    <w:multiLevelType w:val="hybridMultilevel"/>
    <w:tmpl w:val="E7B0F5CC"/>
    <w:lvl w:ilvl="0" w:tplc="1944C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E2331"/>
    <w:multiLevelType w:val="hybridMultilevel"/>
    <w:tmpl w:val="0F544C2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6BEB"/>
    <w:multiLevelType w:val="hybridMultilevel"/>
    <w:tmpl w:val="EE4C796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9782293"/>
    <w:multiLevelType w:val="hybridMultilevel"/>
    <w:tmpl w:val="398E7134"/>
    <w:lvl w:ilvl="0" w:tplc="58A4F4C8">
      <w:start w:val="62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C5288"/>
    <w:multiLevelType w:val="hybridMultilevel"/>
    <w:tmpl w:val="D86C4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380"/>
    <w:rsid w:val="000211E0"/>
    <w:rsid w:val="00036334"/>
    <w:rsid w:val="000637FC"/>
    <w:rsid w:val="000640CA"/>
    <w:rsid w:val="000B62BA"/>
    <w:rsid w:val="000B688C"/>
    <w:rsid w:val="001454A6"/>
    <w:rsid w:val="001F42DF"/>
    <w:rsid w:val="00222BEE"/>
    <w:rsid w:val="00224516"/>
    <w:rsid w:val="002251DB"/>
    <w:rsid w:val="002623E3"/>
    <w:rsid w:val="002903A7"/>
    <w:rsid w:val="002A7FD0"/>
    <w:rsid w:val="002F3123"/>
    <w:rsid w:val="002F4770"/>
    <w:rsid w:val="00302555"/>
    <w:rsid w:val="00306FF7"/>
    <w:rsid w:val="003218DB"/>
    <w:rsid w:val="00331F59"/>
    <w:rsid w:val="00336E48"/>
    <w:rsid w:val="003A4BDC"/>
    <w:rsid w:val="003F69CA"/>
    <w:rsid w:val="00404067"/>
    <w:rsid w:val="004069E1"/>
    <w:rsid w:val="004154AA"/>
    <w:rsid w:val="00432F34"/>
    <w:rsid w:val="0047705E"/>
    <w:rsid w:val="004863FB"/>
    <w:rsid w:val="004D2B99"/>
    <w:rsid w:val="004F2A76"/>
    <w:rsid w:val="00502701"/>
    <w:rsid w:val="0050574F"/>
    <w:rsid w:val="0051540F"/>
    <w:rsid w:val="0052048F"/>
    <w:rsid w:val="0054198A"/>
    <w:rsid w:val="005B51C8"/>
    <w:rsid w:val="005B5F22"/>
    <w:rsid w:val="005C21B1"/>
    <w:rsid w:val="005C6B1E"/>
    <w:rsid w:val="005C6D5C"/>
    <w:rsid w:val="005E6571"/>
    <w:rsid w:val="00612237"/>
    <w:rsid w:val="00655172"/>
    <w:rsid w:val="00680781"/>
    <w:rsid w:val="006D50E9"/>
    <w:rsid w:val="006F380B"/>
    <w:rsid w:val="006F654D"/>
    <w:rsid w:val="0071658D"/>
    <w:rsid w:val="007176C0"/>
    <w:rsid w:val="00725A47"/>
    <w:rsid w:val="00743386"/>
    <w:rsid w:val="00754486"/>
    <w:rsid w:val="007577EA"/>
    <w:rsid w:val="00791ECD"/>
    <w:rsid w:val="00797416"/>
    <w:rsid w:val="007A3109"/>
    <w:rsid w:val="007A4918"/>
    <w:rsid w:val="007D2380"/>
    <w:rsid w:val="007D7A91"/>
    <w:rsid w:val="008201C1"/>
    <w:rsid w:val="00834C51"/>
    <w:rsid w:val="0088481D"/>
    <w:rsid w:val="008A552E"/>
    <w:rsid w:val="0090203C"/>
    <w:rsid w:val="00922B0F"/>
    <w:rsid w:val="00935D11"/>
    <w:rsid w:val="00937D71"/>
    <w:rsid w:val="00947F2A"/>
    <w:rsid w:val="00972A76"/>
    <w:rsid w:val="009951F5"/>
    <w:rsid w:val="009B0DCB"/>
    <w:rsid w:val="009C7DF4"/>
    <w:rsid w:val="00A22C26"/>
    <w:rsid w:val="00A6043F"/>
    <w:rsid w:val="00A63ECC"/>
    <w:rsid w:val="00A83D36"/>
    <w:rsid w:val="00AB0759"/>
    <w:rsid w:val="00B01E6A"/>
    <w:rsid w:val="00B029C7"/>
    <w:rsid w:val="00B30CDB"/>
    <w:rsid w:val="00B905DC"/>
    <w:rsid w:val="00B908EF"/>
    <w:rsid w:val="00BA17F7"/>
    <w:rsid w:val="00BB7803"/>
    <w:rsid w:val="00BC01C5"/>
    <w:rsid w:val="00BC4D82"/>
    <w:rsid w:val="00C32EE2"/>
    <w:rsid w:val="00C726F4"/>
    <w:rsid w:val="00CD251F"/>
    <w:rsid w:val="00CD6B19"/>
    <w:rsid w:val="00D130E6"/>
    <w:rsid w:val="00D224FD"/>
    <w:rsid w:val="00D30D30"/>
    <w:rsid w:val="00D40B73"/>
    <w:rsid w:val="00D47323"/>
    <w:rsid w:val="00D95241"/>
    <w:rsid w:val="00D97CE1"/>
    <w:rsid w:val="00DB77E9"/>
    <w:rsid w:val="00DE1C78"/>
    <w:rsid w:val="00DF2553"/>
    <w:rsid w:val="00E305E6"/>
    <w:rsid w:val="00E65247"/>
    <w:rsid w:val="00ED0700"/>
    <w:rsid w:val="00EE41C4"/>
    <w:rsid w:val="00F03954"/>
    <w:rsid w:val="00F20388"/>
    <w:rsid w:val="00F51B6E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407"/>
  <w15:docId w15:val="{DFE2C579-D9D1-438B-BC9F-EBBC529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38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6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1454A6"/>
    <w:pPr>
      <w:keepNext/>
      <w:outlineLvl w:val="5"/>
    </w:pPr>
    <w:rPr>
      <w:rFonts w:ascii="Times New Roman" w:hAnsi="Times New Roman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1454A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1454A6"/>
    <w:rPr>
      <w:sz w:val="22"/>
      <w:szCs w:val="20"/>
    </w:rPr>
  </w:style>
  <w:style w:type="paragraph" w:styleId="Glava">
    <w:name w:val="header"/>
    <w:basedOn w:val="Navaden"/>
    <w:link w:val="GlavaZnak"/>
    <w:rsid w:val="00B029C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B029C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B029C7"/>
    <w:pPr>
      <w:jc w:val="both"/>
    </w:pPr>
    <w:rPr>
      <w:rFonts w:ascii="Times New Roman" w:hAnsi="Times New Roman"/>
      <w:sz w:val="20"/>
      <w:szCs w:val="15"/>
    </w:rPr>
  </w:style>
  <w:style w:type="character" w:customStyle="1" w:styleId="Telobesedila2Znak">
    <w:name w:val="Telo besedila 2 Znak"/>
    <w:basedOn w:val="Privzetapisavaodstavka"/>
    <w:link w:val="Telobesedila2"/>
    <w:rsid w:val="00B029C7"/>
    <w:rPr>
      <w:rFonts w:ascii="Times New Roman" w:eastAsia="Times New Roman" w:hAnsi="Times New Roman" w:cs="Times New Roman"/>
      <w:sz w:val="20"/>
      <w:szCs w:val="15"/>
      <w:lang w:eastAsia="sl-SI"/>
    </w:rPr>
  </w:style>
  <w:style w:type="paragraph" w:customStyle="1" w:styleId="DefinitionTerm">
    <w:name w:val="Definition Term"/>
    <w:basedOn w:val="Navaden"/>
    <w:next w:val="Navaden"/>
    <w:rsid w:val="00B029C7"/>
    <w:rPr>
      <w:rFonts w:ascii="Times New Roman" w:hAnsi="Times New Roman"/>
      <w:snapToGrid w:val="0"/>
      <w:szCs w:val="20"/>
    </w:rPr>
  </w:style>
  <w:style w:type="paragraph" w:customStyle="1" w:styleId="Preformatted">
    <w:name w:val="Preformatted"/>
    <w:basedOn w:val="Navaden"/>
    <w:rsid w:val="00B029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esegmentt">
    <w:name w:val="esegment_t"/>
    <w:basedOn w:val="Navaden"/>
    <w:rsid w:val="007176C0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6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6C0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22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5B51C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51C8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69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637F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E6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350" TargetMode="External"/><Relationship Id="rId13" Type="http://schemas.openxmlformats.org/officeDocument/2006/relationships/hyperlink" Target="http://www.uradni-list.si/1/objava.jsp?sop=2017-01-0729" TargetMode="External"/><Relationship Id="rId18" Type="http://schemas.openxmlformats.org/officeDocument/2006/relationships/hyperlink" Target="http://www.uradni-list.si/1/objava.jsp?sop=2019-01-1329" TargetMode="External"/><Relationship Id="rId26" Type="http://schemas.openxmlformats.org/officeDocument/2006/relationships/hyperlink" Target="http://www.uradni-list.si/1/objava.jsp?sop=2015-01-17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4-01-4596" TargetMode="External"/><Relationship Id="rId7" Type="http://schemas.openxmlformats.org/officeDocument/2006/relationships/hyperlink" Target="http://www.uradni-list.si/1/objava.jsp?sop=2007-21-2284" TargetMode="External"/><Relationship Id="rId12" Type="http://schemas.openxmlformats.org/officeDocument/2006/relationships/hyperlink" Target="http://www.uradni-list.si/1/objava.jsp?sop=2016-01-2294" TargetMode="External"/><Relationship Id="rId17" Type="http://schemas.openxmlformats.org/officeDocument/2006/relationships/hyperlink" Target="http://www.uradni-list.si/1/objava.jsp?sop=2018-01-1403" TargetMode="External"/><Relationship Id="rId25" Type="http://schemas.openxmlformats.org/officeDocument/2006/relationships/hyperlink" Target="http://www.uradni-list.si/1/objava.jsp?sop=2013-01-35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887" TargetMode="External"/><Relationship Id="rId20" Type="http://schemas.openxmlformats.org/officeDocument/2006/relationships/hyperlink" Target="http://www.uradni-list.si/1/objava.jsp?sop=2021-01-389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21-1207" TargetMode="External"/><Relationship Id="rId11" Type="http://schemas.openxmlformats.org/officeDocument/2006/relationships/hyperlink" Target="http://www.uradni-list.si/1/objava.jsp?sop=2016-01-1707" TargetMode="External"/><Relationship Id="rId24" Type="http://schemas.openxmlformats.org/officeDocument/2006/relationships/hyperlink" Target="http://www.uradni-list.si/1/objava.jsp?sop=2010-01-3387" TargetMode="External"/><Relationship Id="rId5" Type="http://schemas.openxmlformats.org/officeDocument/2006/relationships/hyperlink" Target="http://www.uradni-list.si/1/objava.jsp?sop=2007-01-0100" TargetMode="External"/><Relationship Id="rId15" Type="http://schemas.openxmlformats.org/officeDocument/2006/relationships/hyperlink" Target="http://www.uradni-list.si/1/objava.jsp?sop=2017-01-2437" TargetMode="External"/><Relationship Id="rId23" Type="http://schemas.openxmlformats.org/officeDocument/2006/relationships/hyperlink" Target="http://www.uradni-list.si/1/objava.jsp?sop=2006-01-48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2404" TargetMode="External"/><Relationship Id="rId19" Type="http://schemas.openxmlformats.org/officeDocument/2006/relationships/hyperlink" Target="http://www.uradni-list.si/1/objava.jsp?sop=2020-01-3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387" TargetMode="External"/><Relationship Id="rId14" Type="http://schemas.openxmlformats.org/officeDocument/2006/relationships/hyperlink" Target="http://www.uradni-list.si/1/objava.jsp?sop=2017-01-1524" TargetMode="External"/><Relationship Id="rId22" Type="http://schemas.openxmlformats.org/officeDocument/2006/relationships/hyperlink" Target="http://www.uradni-list.si/1/objava.jsp?sop=2004-01-5190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Soraja Balantič</cp:lastModifiedBy>
  <cp:revision>97</cp:revision>
  <cp:lastPrinted>2016-02-24T15:14:00Z</cp:lastPrinted>
  <dcterms:created xsi:type="dcterms:W3CDTF">2011-03-11T06:25:00Z</dcterms:created>
  <dcterms:modified xsi:type="dcterms:W3CDTF">2022-03-16T09:22:00Z</dcterms:modified>
</cp:coreProperties>
</file>