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2835"/>
      </w:tblGrid>
      <w:tr w:rsidR="00E714F3" w:rsidRPr="00E03225" w:rsidTr="00921221">
        <w:trPr>
          <w:trHeight w:val="567"/>
        </w:trPr>
        <w:tc>
          <w:tcPr>
            <w:tcW w:w="2835" w:type="dxa"/>
            <w:tcBorders>
              <w:bottom w:val="single" w:sz="4" w:space="0" w:color="auto"/>
            </w:tcBorders>
          </w:tcPr>
          <w:p w:rsidR="00E714F3" w:rsidRPr="00E03225" w:rsidRDefault="00E714F3" w:rsidP="00921221">
            <w:pPr>
              <w:pStyle w:val="Brezrazmikov"/>
              <w:jc w:val="center"/>
              <w:rPr>
                <w:rFonts w:ascii="Arial" w:hAnsi="Arial" w:cs="Arial"/>
                <w:b/>
              </w:rPr>
            </w:pPr>
            <w:r w:rsidRPr="00E03225">
              <w:rPr>
                <w:rFonts w:ascii="Arial" w:hAnsi="Arial" w:cs="Arial"/>
                <w:b/>
                <w:noProof/>
                <w:lang w:eastAsia="sl-SI"/>
              </w:rPr>
              <w:drawing>
                <wp:inline distT="0" distB="0" distL="0" distR="0" wp14:anchorId="1F1F99B8" wp14:editId="1A58F758">
                  <wp:extent cx="762000" cy="923925"/>
                  <wp:effectExtent l="0" t="0" r="0" b="0"/>
                  <wp:docPr id="6" name="Slika 6"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inline>
              </w:drawing>
            </w:r>
          </w:p>
        </w:tc>
      </w:tr>
      <w:tr w:rsidR="00E714F3" w:rsidRPr="00E03225" w:rsidTr="00921221">
        <w:tc>
          <w:tcPr>
            <w:tcW w:w="2835" w:type="dxa"/>
            <w:tcBorders>
              <w:top w:val="single" w:sz="4" w:space="0" w:color="auto"/>
              <w:bottom w:val="single" w:sz="6" w:space="0" w:color="auto"/>
            </w:tcBorders>
          </w:tcPr>
          <w:p w:rsidR="00E714F3" w:rsidRPr="00E03225" w:rsidRDefault="00E714F3" w:rsidP="00921221">
            <w:pPr>
              <w:pStyle w:val="Brezrazmikov"/>
              <w:jc w:val="center"/>
              <w:rPr>
                <w:rFonts w:ascii="Arial" w:hAnsi="Arial" w:cs="Arial"/>
                <w:b/>
              </w:rPr>
            </w:pPr>
            <w:r w:rsidRPr="00E03225">
              <w:rPr>
                <w:rFonts w:ascii="Arial" w:hAnsi="Arial" w:cs="Arial"/>
                <w:b/>
              </w:rPr>
              <w:t>OBČINA KOMEN</w:t>
            </w:r>
          </w:p>
        </w:tc>
      </w:tr>
      <w:tr w:rsidR="00E714F3" w:rsidRPr="00E03225" w:rsidTr="00921221">
        <w:tc>
          <w:tcPr>
            <w:tcW w:w="2835" w:type="dxa"/>
          </w:tcPr>
          <w:p w:rsidR="00E714F3" w:rsidRPr="00E03225" w:rsidRDefault="00E714F3" w:rsidP="00921221">
            <w:pPr>
              <w:pStyle w:val="Brezrazmikov"/>
              <w:jc w:val="center"/>
              <w:rPr>
                <w:rFonts w:ascii="Arial" w:hAnsi="Arial" w:cs="Arial"/>
                <w:b/>
                <w:sz w:val="18"/>
                <w:szCs w:val="18"/>
              </w:rPr>
            </w:pPr>
            <w:r w:rsidRPr="00E03225">
              <w:rPr>
                <w:rFonts w:ascii="Arial" w:hAnsi="Arial" w:cs="Arial"/>
                <w:b/>
                <w:sz w:val="18"/>
                <w:szCs w:val="18"/>
              </w:rPr>
              <w:t>Komen 86, 6223 Komen</w:t>
            </w:r>
          </w:p>
        </w:tc>
      </w:tr>
      <w:tr w:rsidR="00E714F3" w:rsidRPr="00E03225" w:rsidTr="00921221">
        <w:tc>
          <w:tcPr>
            <w:tcW w:w="2835" w:type="dxa"/>
          </w:tcPr>
          <w:p w:rsidR="00E714F3" w:rsidRPr="00E03225" w:rsidRDefault="00E714F3" w:rsidP="00921221">
            <w:pPr>
              <w:pStyle w:val="Brezrazmikov"/>
              <w:jc w:val="center"/>
              <w:rPr>
                <w:rFonts w:ascii="Arial" w:hAnsi="Arial" w:cs="Arial"/>
                <w:b/>
                <w:sz w:val="16"/>
                <w:szCs w:val="16"/>
              </w:rPr>
            </w:pPr>
            <w:r w:rsidRPr="00E03225">
              <w:rPr>
                <w:rFonts w:ascii="Arial" w:hAnsi="Arial" w:cs="Arial"/>
                <w:b/>
                <w:sz w:val="16"/>
                <w:szCs w:val="16"/>
              </w:rPr>
              <w:t xml:space="preserve">tel. 05 7310450, </w:t>
            </w:r>
            <w:proofErr w:type="spellStart"/>
            <w:r w:rsidRPr="00E03225">
              <w:rPr>
                <w:rFonts w:ascii="Arial" w:hAnsi="Arial" w:cs="Arial"/>
                <w:b/>
                <w:sz w:val="16"/>
                <w:szCs w:val="16"/>
              </w:rPr>
              <w:t>fax</w:t>
            </w:r>
            <w:proofErr w:type="spellEnd"/>
            <w:r w:rsidRPr="00E03225">
              <w:rPr>
                <w:rFonts w:ascii="Arial" w:hAnsi="Arial" w:cs="Arial"/>
                <w:b/>
                <w:sz w:val="16"/>
                <w:szCs w:val="16"/>
              </w:rPr>
              <w:t>. 05 7310460</w:t>
            </w:r>
          </w:p>
        </w:tc>
      </w:tr>
    </w:tbl>
    <w:p w:rsidR="006861D7" w:rsidRDefault="006861D7" w:rsidP="006861D7">
      <w:pPr>
        <w:pStyle w:val="Brezrazmikov"/>
        <w:jc w:val="both"/>
        <w:rPr>
          <w:rFonts w:ascii="Arial" w:hAnsi="Arial" w:cs="Arial"/>
        </w:rPr>
      </w:pPr>
    </w:p>
    <w:p w:rsidR="00DD74FA" w:rsidRDefault="00DD74FA" w:rsidP="006861D7">
      <w:pPr>
        <w:pStyle w:val="Brezrazmikov"/>
        <w:jc w:val="both"/>
        <w:rPr>
          <w:rFonts w:ascii="Arial" w:hAnsi="Arial" w:cs="Arial"/>
        </w:rPr>
      </w:pPr>
    </w:p>
    <w:p w:rsidR="006861D7" w:rsidRPr="008B0BD6" w:rsidRDefault="006861D7" w:rsidP="006861D7">
      <w:pPr>
        <w:pStyle w:val="Brezrazmikov"/>
        <w:jc w:val="both"/>
        <w:rPr>
          <w:rFonts w:ascii="Arial" w:hAnsi="Arial" w:cs="Arial"/>
          <w:sz w:val="20"/>
          <w:szCs w:val="20"/>
        </w:rPr>
      </w:pPr>
      <w:r w:rsidRPr="008B0BD6">
        <w:rPr>
          <w:rFonts w:ascii="Arial" w:hAnsi="Arial" w:cs="Arial"/>
          <w:sz w:val="20"/>
          <w:szCs w:val="20"/>
        </w:rPr>
        <w:t>Številka:</w:t>
      </w:r>
      <w:r w:rsidRPr="008B0BD6">
        <w:rPr>
          <w:rFonts w:ascii="Arial" w:hAnsi="Arial" w:cs="Arial"/>
          <w:sz w:val="20"/>
          <w:szCs w:val="20"/>
        </w:rPr>
        <w:tab/>
      </w:r>
      <w:r w:rsidR="003F3A71">
        <w:rPr>
          <w:rFonts w:ascii="Arial" w:hAnsi="Arial" w:cs="Arial"/>
          <w:sz w:val="20"/>
          <w:szCs w:val="20"/>
        </w:rPr>
        <w:t>845-0001/2023-13</w:t>
      </w:r>
    </w:p>
    <w:p w:rsidR="006861D7" w:rsidRPr="008B0BD6" w:rsidRDefault="006861D7" w:rsidP="006861D7">
      <w:pPr>
        <w:pStyle w:val="Brezrazmikov"/>
        <w:jc w:val="both"/>
        <w:rPr>
          <w:rFonts w:ascii="Arial" w:hAnsi="Arial" w:cs="Arial"/>
          <w:sz w:val="20"/>
          <w:szCs w:val="20"/>
        </w:rPr>
      </w:pPr>
      <w:r w:rsidRPr="008B0BD6">
        <w:rPr>
          <w:rFonts w:ascii="Arial" w:hAnsi="Arial" w:cs="Arial"/>
          <w:sz w:val="20"/>
          <w:szCs w:val="20"/>
        </w:rPr>
        <w:t>Datum:</w:t>
      </w:r>
      <w:r w:rsidRPr="008B0BD6">
        <w:rPr>
          <w:rFonts w:ascii="Arial" w:hAnsi="Arial" w:cs="Arial"/>
          <w:sz w:val="20"/>
          <w:szCs w:val="20"/>
        </w:rPr>
        <w:tab/>
      </w:r>
      <w:r>
        <w:rPr>
          <w:rFonts w:ascii="Arial" w:hAnsi="Arial" w:cs="Arial"/>
          <w:sz w:val="20"/>
          <w:szCs w:val="20"/>
        </w:rPr>
        <w:tab/>
      </w:r>
      <w:r w:rsidR="003F3A71">
        <w:rPr>
          <w:rFonts w:ascii="Arial" w:hAnsi="Arial" w:cs="Arial"/>
          <w:sz w:val="20"/>
          <w:szCs w:val="20"/>
        </w:rPr>
        <w:t>15. 3. 2023</w:t>
      </w:r>
    </w:p>
    <w:p w:rsidR="006861D7" w:rsidRDefault="006861D7" w:rsidP="006861D7">
      <w:pPr>
        <w:pStyle w:val="Brezrazmikov"/>
        <w:jc w:val="both"/>
        <w:rPr>
          <w:rFonts w:ascii="Arial" w:hAnsi="Arial" w:cs="Arial"/>
        </w:rPr>
      </w:pPr>
    </w:p>
    <w:p w:rsidR="006861D7" w:rsidRPr="008B0BD6" w:rsidRDefault="006861D7" w:rsidP="006861D7">
      <w:pPr>
        <w:pStyle w:val="Brezrazmikov"/>
        <w:jc w:val="both"/>
        <w:rPr>
          <w:rFonts w:ascii="Arial" w:hAnsi="Arial" w:cs="Arial"/>
          <w:b/>
        </w:rPr>
      </w:pPr>
      <w:r w:rsidRPr="008B0BD6">
        <w:rPr>
          <w:rFonts w:ascii="Arial" w:hAnsi="Arial" w:cs="Arial"/>
          <w:b/>
        </w:rPr>
        <w:t>Občina Komen</w:t>
      </w:r>
    </w:p>
    <w:p w:rsidR="006861D7" w:rsidRPr="008B0BD6" w:rsidRDefault="006861D7" w:rsidP="006861D7">
      <w:pPr>
        <w:pStyle w:val="Brezrazmikov"/>
        <w:jc w:val="both"/>
        <w:rPr>
          <w:rFonts w:ascii="Arial" w:hAnsi="Arial" w:cs="Arial"/>
          <w:b/>
        </w:rPr>
      </w:pPr>
      <w:r w:rsidRPr="008B0BD6">
        <w:rPr>
          <w:rFonts w:ascii="Arial" w:hAnsi="Arial" w:cs="Arial"/>
          <w:b/>
        </w:rPr>
        <w:t>Občinski svet</w:t>
      </w:r>
    </w:p>
    <w:p w:rsidR="00CB3DD5" w:rsidRPr="0055727F" w:rsidRDefault="00CB3DD5" w:rsidP="0055727F">
      <w:pPr>
        <w:pStyle w:val="Brezrazmikov"/>
        <w:rPr>
          <w:rFonts w:ascii="Arial" w:hAnsi="Arial" w:cs="Arial"/>
        </w:rPr>
      </w:pPr>
    </w:p>
    <w:p w:rsidR="00CB3DD5" w:rsidRPr="0055727F" w:rsidRDefault="00CB3DD5" w:rsidP="0055727F">
      <w:pPr>
        <w:pStyle w:val="Brezrazmikov"/>
        <w:rPr>
          <w:rFonts w:ascii="Arial" w:hAnsi="Arial" w:cs="Arial"/>
        </w:rPr>
      </w:pPr>
    </w:p>
    <w:p w:rsidR="00CB3DD5" w:rsidRPr="0055727F" w:rsidRDefault="00DD74FA" w:rsidP="0055727F">
      <w:pPr>
        <w:pStyle w:val="Brezrazmikov"/>
        <w:jc w:val="both"/>
        <w:rPr>
          <w:rFonts w:ascii="Arial" w:hAnsi="Arial" w:cs="Arial"/>
        </w:rPr>
      </w:pPr>
      <w:r>
        <w:rPr>
          <w:rFonts w:ascii="Arial" w:hAnsi="Arial" w:cs="Arial"/>
        </w:rPr>
        <w:t xml:space="preserve">Na podlagi 3. odstavka 7. člena Uredbe o </w:t>
      </w:r>
      <w:r w:rsidRPr="00DD74FA">
        <w:rPr>
          <w:rFonts w:ascii="Arial" w:hAnsi="Arial" w:cs="Arial"/>
        </w:rPr>
        <w:t>plačah direktorjev v javnem sektorju (Uradni list RS, št. 68/17, 4/18, 30/18, 116/21, 180/21,</w:t>
      </w:r>
      <w:r>
        <w:rPr>
          <w:rFonts w:ascii="Arial" w:hAnsi="Arial" w:cs="Arial"/>
        </w:rPr>
        <w:t xml:space="preserve"> 29/22, 89/22, 112/22 in 25/23) in 30. </w:t>
      </w:r>
      <w:r w:rsidR="00F038F3">
        <w:rPr>
          <w:rFonts w:ascii="Arial" w:hAnsi="Arial" w:cs="Arial"/>
        </w:rPr>
        <w:t>člena Statuta O</w:t>
      </w:r>
      <w:r w:rsidR="00CB3DD5" w:rsidRPr="0055727F">
        <w:rPr>
          <w:rFonts w:ascii="Arial" w:hAnsi="Arial" w:cs="Arial"/>
        </w:rPr>
        <w:t>bčine Komen (Uradni list RS 80/09</w:t>
      </w:r>
      <w:r w:rsidR="00AF16C8" w:rsidRPr="0055727F">
        <w:rPr>
          <w:rFonts w:ascii="Arial" w:hAnsi="Arial" w:cs="Arial"/>
        </w:rPr>
        <w:t>, 39/14</w:t>
      </w:r>
      <w:r w:rsidR="00F038F3">
        <w:rPr>
          <w:rFonts w:ascii="Arial" w:hAnsi="Arial" w:cs="Arial"/>
        </w:rPr>
        <w:t>, 39/16</w:t>
      </w:r>
      <w:r w:rsidR="00AF16C8" w:rsidRPr="0055727F">
        <w:rPr>
          <w:rFonts w:ascii="Arial" w:hAnsi="Arial" w:cs="Arial"/>
        </w:rPr>
        <w:t>),</w:t>
      </w:r>
      <w:r>
        <w:rPr>
          <w:rFonts w:ascii="Arial" w:hAnsi="Arial" w:cs="Arial"/>
        </w:rPr>
        <w:t xml:space="preserve"> </w:t>
      </w:r>
      <w:r w:rsidR="00CB3DD5" w:rsidRPr="0055727F">
        <w:rPr>
          <w:rFonts w:ascii="Arial" w:hAnsi="Arial" w:cs="Arial"/>
        </w:rPr>
        <w:t>vam v obravnavo in sprejem posredujem</w:t>
      </w:r>
    </w:p>
    <w:p w:rsidR="00CB3DD5" w:rsidRPr="0055727F" w:rsidRDefault="00CB3DD5" w:rsidP="0055727F">
      <w:pPr>
        <w:pStyle w:val="Brezrazmikov"/>
        <w:rPr>
          <w:rFonts w:ascii="Arial" w:hAnsi="Arial" w:cs="Arial"/>
        </w:rPr>
      </w:pPr>
    </w:p>
    <w:p w:rsidR="00CB3DD5" w:rsidRPr="0055727F" w:rsidRDefault="00CB3DD5" w:rsidP="000E4A7B">
      <w:pPr>
        <w:pStyle w:val="Brezrazmikov"/>
        <w:numPr>
          <w:ilvl w:val="0"/>
          <w:numId w:val="4"/>
        </w:numPr>
        <w:jc w:val="both"/>
        <w:rPr>
          <w:rFonts w:ascii="Arial" w:hAnsi="Arial" w:cs="Arial"/>
          <w:b/>
        </w:rPr>
      </w:pPr>
      <w:r w:rsidRPr="0055727F">
        <w:rPr>
          <w:rFonts w:ascii="Arial" w:hAnsi="Arial" w:cs="Arial"/>
          <w:b/>
        </w:rPr>
        <w:t>Predlog Sklep</w:t>
      </w:r>
      <w:r w:rsidR="009C11B9" w:rsidRPr="0055727F">
        <w:rPr>
          <w:rFonts w:ascii="Arial" w:hAnsi="Arial" w:cs="Arial"/>
          <w:b/>
        </w:rPr>
        <w:t xml:space="preserve">a </w:t>
      </w:r>
      <w:r w:rsidRPr="0055727F">
        <w:rPr>
          <w:rFonts w:ascii="Arial" w:hAnsi="Arial" w:cs="Arial"/>
          <w:b/>
        </w:rPr>
        <w:t xml:space="preserve">o </w:t>
      </w:r>
      <w:r w:rsidR="00DD74FA">
        <w:rPr>
          <w:rFonts w:ascii="Arial" w:hAnsi="Arial" w:cs="Arial"/>
          <w:b/>
        </w:rPr>
        <w:t xml:space="preserve">soglasju k izplačilu </w:t>
      </w:r>
      <w:r w:rsidR="000E4A7B">
        <w:rPr>
          <w:rFonts w:ascii="Arial" w:hAnsi="Arial" w:cs="Arial"/>
          <w:b/>
        </w:rPr>
        <w:t xml:space="preserve">dela </w:t>
      </w:r>
      <w:r w:rsidR="00DD74FA">
        <w:rPr>
          <w:rFonts w:ascii="Arial" w:hAnsi="Arial" w:cs="Arial"/>
          <w:b/>
        </w:rPr>
        <w:t>plače za redno delovno uspešnost direktorja</w:t>
      </w:r>
      <w:r w:rsidR="000E4A7B">
        <w:rPr>
          <w:rFonts w:ascii="Arial" w:hAnsi="Arial" w:cs="Arial"/>
          <w:b/>
        </w:rPr>
        <w:t xml:space="preserve"> - poveljnika</w:t>
      </w:r>
      <w:r w:rsidR="00DD74FA">
        <w:rPr>
          <w:rFonts w:ascii="Arial" w:hAnsi="Arial" w:cs="Arial"/>
          <w:b/>
        </w:rPr>
        <w:t xml:space="preserve"> Zavoda za gasilno in reševalno službo Sežana za leto 2022</w:t>
      </w:r>
    </w:p>
    <w:p w:rsidR="00CB3DD5" w:rsidRPr="0055727F" w:rsidRDefault="00CB3DD5" w:rsidP="0055727F">
      <w:pPr>
        <w:pStyle w:val="Brezrazmikov"/>
        <w:rPr>
          <w:rFonts w:ascii="Arial" w:hAnsi="Arial" w:cs="Arial"/>
        </w:rPr>
      </w:pPr>
    </w:p>
    <w:p w:rsidR="00CB3DD5" w:rsidRPr="0055727F" w:rsidRDefault="00CB3DD5" w:rsidP="0055727F">
      <w:pPr>
        <w:pStyle w:val="Brezrazmikov"/>
        <w:rPr>
          <w:rFonts w:ascii="Arial" w:hAnsi="Arial" w:cs="Arial"/>
          <w:b/>
        </w:rPr>
      </w:pPr>
      <w:r w:rsidRPr="0055727F">
        <w:rPr>
          <w:rFonts w:ascii="Arial" w:hAnsi="Arial" w:cs="Arial"/>
          <w:b/>
        </w:rPr>
        <w:t>Obrazložitev:</w:t>
      </w:r>
    </w:p>
    <w:p w:rsidR="00CB3DD5" w:rsidRDefault="00DD74FA" w:rsidP="00DB4E18">
      <w:pPr>
        <w:pStyle w:val="Brezrazmikov"/>
        <w:jc w:val="both"/>
        <w:rPr>
          <w:rFonts w:ascii="Arial" w:hAnsi="Arial" w:cs="Arial"/>
        </w:rPr>
      </w:pPr>
      <w:r>
        <w:rPr>
          <w:rFonts w:ascii="Arial" w:hAnsi="Arial" w:cs="Arial"/>
        </w:rPr>
        <w:t xml:space="preserve">V skladu s prvim odstavkom 22. člena Zakona o sistemu plač v javnem sektorju </w:t>
      </w:r>
      <w:r w:rsidRPr="00DD74FA">
        <w:rPr>
          <w:rFonts w:ascii="Arial" w:hAnsi="Arial" w:cs="Arial"/>
        </w:rPr>
        <w:t xml:space="preserve">(Uradni list RS, št. 108/09 – uradno prečiščeno besedilo, 13/10, 59/10, 85/10, 107/10, 35/11 – ORZSPJS49a, 27/12 – </w:t>
      </w:r>
      <w:proofErr w:type="spellStart"/>
      <w:r w:rsidRPr="00DD74FA">
        <w:rPr>
          <w:rFonts w:ascii="Arial" w:hAnsi="Arial" w:cs="Arial"/>
        </w:rPr>
        <w:t>odl</w:t>
      </w:r>
      <w:proofErr w:type="spellEnd"/>
      <w:r w:rsidRPr="00DD74FA">
        <w:rPr>
          <w:rFonts w:ascii="Arial" w:hAnsi="Arial" w:cs="Arial"/>
        </w:rPr>
        <w:t xml:space="preserve">. US, 40/12 – ZUJF, 46/13, 25/14 – ZFU, 50/14, 95/14 – ZUPPJS15, 82/15, 23/17 – </w:t>
      </w:r>
      <w:proofErr w:type="spellStart"/>
      <w:r w:rsidRPr="00DD74FA">
        <w:rPr>
          <w:rFonts w:ascii="Arial" w:hAnsi="Arial" w:cs="Arial"/>
        </w:rPr>
        <w:t>ZDOdv</w:t>
      </w:r>
      <w:proofErr w:type="spellEnd"/>
      <w:r w:rsidRPr="00DD74FA">
        <w:rPr>
          <w:rFonts w:ascii="Arial" w:hAnsi="Arial" w:cs="Arial"/>
        </w:rPr>
        <w:t>,</w:t>
      </w:r>
      <w:r>
        <w:rPr>
          <w:rFonts w:ascii="Arial" w:hAnsi="Arial" w:cs="Arial"/>
        </w:rPr>
        <w:t xml:space="preserve"> 67/17, 84/18, 204/21 in 139/22; ZSPJS) s</w:t>
      </w:r>
      <w:r w:rsidRPr="00DD74FA">
        <w:rPr>
          <w:rFonts w:ascii="Arial" w:hAnsi="Arial" w:cs="Arial"/>
        </w:rPr>
        <w:t>kupen obseg sredstev za plačilo redne delovne uspešnosti znaša najmanj 2% in ne več kot 5% letnih sredstev za osnovne plače. Skupen obseg sredstev za redno delovno uspešnost za plačilo ravnateljev, direktorjev in tajnikov se oblikuje in izkazuje ločeno.</w:t>
      </w:r>
      <w:r>
        <w:rPr>
          <w:rFonts w:ascii="Arial" w:hAnsi="Arial" w:cs="Arial"/>
        </w:rPr>
        <w:t xml:space="preserve"> </w:t>
      </w:r>
    </w:p>
    <w:p w:rsidR="00DD74FA" w:rsidRDefault="00DD74FA" w:rsidP="00DB4E18">
      <w:pPr>
        <w:pStyle w:val="Brezrazmikov"/>
        <w:jc w:val="both"/>
        <w:rPr>
          <w:rFonts w:ascii="Arial" w:hAnsi="Arial" w:cs="Arial"/>
        </w:rPr>
      </w:pPr>
      <w:r>
        <w:rPr>
          <w:rFonts w:ascii="Arial" w:hAnsi="Arial" w:cs="Arial"/>
        </w:rPr>
        <w:t xml:space="preserve">V skladu s tretjim odstavkom </w:t>
      </w:r>
      <w:r w:rsidR="00097EF2">
        <w:rPr>
          <w:rFonts w:ascii="Arial" w:hAnsi="Arial" w:cs="Arial"/>
        </w:rPr>
        <w:t xml:space="preserve">22. a člena </w:t>
      </w:r>
      <w:r>
        <w:rPr>
          <w:rFonts w:ascii="Arial" w:hAnsi="Arial" w:cs="Arial"/>
        </w:rPr>
        <w:t xml:space="preserve">ZSPJS višino dela plače za redno delovno uspešnost direktorjev določi organ, pristojen za njihovo imenovanje, na podlagi meril, ki jih določi pristojni minister. Merila za ugotavljanje delovne uspešnosti direktorjev na področju gasilsko reševalne dejavnosti so določena v Pravilniku o </w:t>
      </w:r>
      <w:r w:rsidRPr="00DD74FA">
        <w:rPr>
          <w:rFonts w:ascii="Arial" w:hAnsi="Arial" w:cs="Arial"/>
        </w:rPr>
        <w:t>merilih za ugotavljanje delovne uspešnosti direktorjev na področju gasilsko reševalne dejavnosti</w:t>
      </w:r>
      <w:r>
        <w:rPr>
          <w:rFonts w:ascii="Arial" w:hAnsi="Arial" w:cs="Arial"/>
        </w:rPr>
        <w:t xml:space="preserve"> (Uradni list RS 28/06). Merila za ugotavljanje delovne uspešnosti so </w:t>
      </w:r>
      <w:r w:rsidRPr="00DD74FA">
        <w:rPr>
          <w:rFonts w:ascii="Arial" w:hAnsi="Arial" w:cs="Arial"/>
        </w:rPr>
        <w:t xml:space="preserve">izpolnjen program dela </w:t>
      </w:r>
      <w:r>
        <w:rPr>
          <w:rFonts w:ascii="Arial" w:hAnsi="Arial" w:cs="Arial"/>
        </w:rPr>
        <w:t xml:space="preserve">enote, ki ga potrdi svet zavoda ter </w:t>
      </w:r>
      <w:r w:rsidRPr="00DD74FA">
        <w:rPr>
          <w:rFonts w:ascii="Arial" w:hAnsi="Arial" w:cs="Arial"/>
        </w:rPr>
        <w:t>uspešnost izvajanja operativne dejavnosti.</w:t>
      </w:r>
      <w:r>
        <w:rPr>
          <w:rFonts w:ascii="Arial" w:hAnsi="Arial" w:cs="Arial"/>
        </w:rPr>
        <w:t xml:space="preserve"> </w:t>
      </w:r>
    </w:p>
    <w:p w:rsidR="000E4A7B" w:rsidRDefault="000E4A7B" w:rsidP="00DB4E18">
      <w:pPr>
        <w:pStyle w:val="Brezrazmikov"/>
        <w:jc w:val="both"/>
        <w:rPr>
          <w:rFonts w:ascii="Arial" w:hAnsi="Arial" w:cs="Arial"/>
        </w:rPr>
      </w:pPr>
    </w:p>
    <w:p w:rsidR="00DD74FA" w:rsidRPr="00DD74FA" w:rsidRDefault="00DD74FA" w:rsidP="00DB4E18">
      <w:pPr>
        <w:pStyle w:val="Brezrazmikov"/>
        <w:jc w:val="both"/>
        <w:rPr>
          <w:rFonts w:ascii="Arial" w:eastAsia="Times New Roman" w:hAnsi="Arial" w:cs="Arial"/>
          <w:lang w:eastAsia="sl-SI"/>
        </w:rPr>
      </w:pPr>
      <w:r w:rsidRPr="00DD74FA">
        <w:rPr>
          <w:rFonts w:ascii="Arial" w:hAnsi="Arial" w:cs="Arial"/>
        </w:rPr>
        <w:t>I</w:t>
      </w:r>
      <w:r w:rsidRPr="00DD74FA">
        <w:rPr>
          <w:rFonts w:ascii="Arial" w:eastAsia="Times New Roman" w:hAnsi="Arial" w:cs="Arial"/>
          <w:lang w:eastAsia="sl-SI"/>
        </w:rPr>
        <w:t>zpolnjen program plana dela poklicne gasilske enote, ki ga potrdi svet zavoda (v višini 80% skupnega deleža), se ovrednoti po naslednjih merilih:</w:t>
      </w:r>
    </w:p>
    <w:tbl>
      <w:tblPr>
        <w:tblW w:w="0" w:type="auto"/>
        <w:jc w:val="center"/>
        <w:tblCellMar>
          <w:left w:w="0" w:type="dxa"/>
          <w:right w:w="0" w:type="dxa"/>
        </w:tblCellMar>
        <w:tblLook w:val="04A0" w:firstRow="1" w:lastRow="0" w:firstColumn="1" w:lastColumn="0" w:noHBand="0" w:noVBand="1"/>
      </w:tblPr>
      <w:tblGrid>
        <w:gridCol w:w="5353"/>
        <w:gridCol w:w="3860"/>
      </w:tblGrid>
      <w:tr w:rsidR="00DD74FA" w:rsidRPr="00DD74FA" w:rsidTr="00DD74FA">
        <w:trPr>
          <w:jc w:val="center"/>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74FA" w:rsidRPr="00DD74FA" w:rsidRDefault="00DD74FA" w:rsidP="00DD74FA">
            <w:pPr>
              <w:spacing w:before="100" w:beforeAutospacing="1" w:after="100" w:afterAutospacing="1"/>
              <w:jc w:val="left"/>
              <w:rPr>
                <w:rFonts w:ascii="Arial" w:eastAsia="Times New Roman" w:hAnsi="Arial" w:cs="Arial"/>
                <w:lang w:eastAsia="sl-SI"/>
              </w:rPr>
            </w:pPr>
            <w:r w:rsidRPr="00DD74FA">
              <w:rPr>
                <w:rFonts w:ascii="Arial" w:eastAsia="Times New Roman" w:hAnsi="Arial" w:cs="Arial"/>
                <w:lang w:eastAsia="sl-SI"/>
              </w:rPr>
              <w:t>Merilo uspešnosti</w:t>
            </w:r>
          </w:p>
        </w:tc>
        <w:tc>
          <w:tcPr>
            <w:tcW w:w="3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74FA" w:rsidRPr="00DD74FA" w:rsidRDefault="00DD74FA" w:rsidP="00DD74FA">
            <w:pPr>
              <w:spacing w:before="100" w:beforeAutospacing="1" w:after="100" w:afterAutospacing="1"/>
              <w:rPr>
                <w:rFonts w:ascii="Arial" w:eastAsia="Times New Roman" w:hAnsi="Arial" w:cs="Arial"/>
                <w:lang w:eastAsia="sl-SI"/>
              </w:rPr>
            </w:pPr>
            <w:r w:rsidRPr="00DD74FA">
              <w:rPr>
                <w:rFonts w:ascii="Arial" w:eastAsia="Times New Roman" w:hAnsi="Arial" w:cs="Arial"/>
                <w:lang w:eastAsia="sl-SI"/>
              </w:rPr>
              <w:t>Višina% priznane uspešnosti</w:t>
            </w:r>
          </w:p>
        </w:tc>
      </w:tr>
      <w:tr w:rsidR="00DD74FA" w:rsidRPr="00DD74FA" w:rsidTr="00DD74FA">
        <w:trPr>
          <w:jc w:val="center"/>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4FA" w:rsidRPr="00DD74FA" w:rsidRDefault="00DD74FA" w:rsidP="00DD74FA">
            <w:pPr>
              <w:spacing w:before="100" w:beforeAutospacing="1" w:after="100" w:afterAutospacing="1"/>
              <w:jc w:val="left"/>
              <w:rPr>
                <w:rFonts w:ascii="Arial" w:eastAsia="Times New Roman" w:hAnsi="Arial" w:cs="Arial"/>
                <w:lang w:eastAsia="sl-SI"/>
              </w:rPr>
            </w:pPr>
            <w:r w:rsidRPr="00DD74FA">
              <w:rPr>
                <w:rFonts w:ascii="Arial" w:eastAsia="Times New Roman" w:hAnsi="Arial" w:cs="Arial"/>
                <w:lang w:eastAsia="sl-SI"/>
              </w:rPr>
              <w:t>100% ali večja realizacija programa plana</w:t>
            </w:r>
          </w:p>
        </w:tc>
        <w:tc>
          <w:tcPr>
            <w:tcW w:w="3860" w:type="dxa"/>
            <w:tcBorders>
              <w:top w:val="nil"/>
              <w:left w:val="nil"/>
              <w:bottom w:val="single" w:sz="8" w:space="0" w:color="auto"/>
              <w:right w:val="single" w:sz="8" w:space="0" w:color="auto"/>
            </w:tcBorders>
            <w:tcMar>
              <w:top w:w="0" w:type="dxa"/>
              <w:left w:w="108" w:type="dxa"/>
              <w:bottom w:w="0" w:type="dxa"/>
              <w:right w:w="108" w:type="dxa"/>
            </w:tcMar>
            <w:hideMark/>
          </w:tcPr>
          <w:p w:rsidR="00DD74FA" w:rsidRPr="00DD74FA" w:rsidRDefault="00DD74FA" w:rsidP="00DD74FA">
            <w:pPr>
              <w:spacing w:before="100" w:beforeAutospacing="1" w:after="100" w:afterAutospacing="1"/>
              <w:rPr>
                <w:rFonts w:ascii="Arial" w:eastAsia="Times New Roman" w:hAnsi="Arial" w:cs="Arial"/>
                <w:lang w:eastAsia="sl-SI"/>
              </w:rPr>
            </w:pPr>
            <w:r w:rsidRPr="00DD74FA">
              <w:rPr>
                <w:rFonts w:ascii="Arial" w:eastAsia="Times New Roman" w:hAnsi="Arial" w:cs="Arial"/>
                <w:lang w:eastAsia="sl-SI"/>
              </w:rPr>
              <w:t>100%</w:t>
            </w:r>
          </w:p>
        </w:tc>
      </w:tr>
      <w:tr w:rsidR="00DD74FA" w:rsidRPr="00DD74FA" w:rsidTr="00DD74FA">
        <w:trPr>
          <w:jc w:val="center"/>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4FA" w:rsidRPr="00DD74FA" w:rsidRDefault="00DD74FA" w:rsidP="00DD74FA">
            <w:pPr>
              <w:spacing w:before="100" w:beforeAutospacing="1" w:after="100" w:afterAutospacing="1"/>
              <w:jc w:val="left"/>
              <w:rPr>
                <w:rFonts w:ascii="Arial" w:eastAsia="Times New Roman" w:hAnsi="Arial" w:cs="Arial"/>
                <w:lang w:eastAsia="sl-SI"/>
              </w:rPr>
            </w:pPr>
            <w:r w:rsidRPr="00DD74FA">
              <w:rPr>
                <w:rFonts w:ascii="Arial" w:eastAsia="Times New Roman" w:hAnsi="Arial" w:cs="Arial"/>
                <w:lang w:eastAsia="sl-SI"/>
              </w:rPr>
              <w:t xml:space="preserve">od 90% do 99% realizacija programa plana enote </w:t>
            </w:r>
          </w:p>
        </w:tc>
        <w:tc>
          <w:tcPr>
            <w:tcW w:w="3860" w:type="dxa"/>
            <w:tcBorders>
              <w:top w:val="nil"/>
              <w:left w:val="nil"/>
              <w:bottom w:val="single" w:sz="8" w:space="0" w:color="auto"/>
              <w:right w:val="single" w:sz="8" w:space="0" w:color="auto"/>
            </w:tcBorders>
            <w:tcMar>
              <w:top w:w="0" w:type="dxa"/>
              <w:left w:w="108" w:type="dxa"/>
              <w:bottom w:w="0" w:type="dxa"/>
              <w:right w:w="108" w:type="dxa"/>
            </w:tcMar>
            <w:hideMark/>
          </w:tcPr>
          <w:p w:rsidR="00DD74FA" w:rsidRPr="00DD74FA" w:rsidRDefault="00DD74FA" w:rsidP="00DD74FA">
            <w:pPr>
              <w:spacing w:before="100" w:beforeAutospacing="1" w:after="100" w:afterAutospacing="1"/>
              <w:rPr>
                <w:rFonts w:ascii="Arial" w:eastAsia="Times New Roman" w:hAnsi="Arial" w:cs="Arial"/>
                <w:lang w:eastAsia="sl-SI"/>
              </w:rPr>
            </w:pPr>
            <w:r w:rsidRPr="00DD74FA">
              <w:rPr>
                <w:rFonts w:ascii="Arial" w:eastAsia="Times New Roman" w:hAnsi="Arial" w:cs="Arial"/>
                <w:lang w:eastAsia="sl-SI"/>
              </w:rPr>
              <w:t>70%</w:t>
            </w:r>
          </w:p>
        </w:tc>
      </w:tr>
      <w:tr w:rsidR="00DD74FA" w:rsidRPr="00DD74FA" w:rsidTr="00DD74FA">
        <w:trPr>
          <w:jc w:val="center"/>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4FA" w:rsidRPr="00DD74FA" w:rsidRDefault="00DD74FA" w:rsidP="00DD74FA">
            <w:pPr>
              <w:spacing w:before="100" w:beforeAutospacing="1" w:after="100" w:afterAutospacing="1"/>
              <w:jc w:val="left"/>
              <w:rPr>
                <w:rFonts w:ascii="Arial" w:eastAsia="Times New Roman" w:hAnsi="Arial" w:cs="Arial"/>
                <w:lang w:eastAsia="sl-SI"/>
              </w:rPr>
            </w:pPr>
            <w:r w:rsidRPr="00DD74FA">
              <w:rPr>
                <w:rFonts w:ascii="Arial" w:eastAsia="Times New Roman" w:hAnsi="Arial" w:cs="Arial"/>
                <w:lang w:eastAsia="sl-SI"/>
              </w:rPr>
              <w:t>od 80% do 89% realizacija programa plana enote</w:t>
            </w:r>
          </w:p>
        </w:tc>
        <w:tc>
          <w:tcPr>
            <w:tcW w:w="3860" w:type="dxa"/>
            <w:tcBorders>
              <w:top w:val="nil"/>
              <w:left w:val="nil"/>
              <w:bottom w:val="single" w:sz="8" w:space="0" w:color="auto"/>
              <w:right w:val="single" w:sz="8" w:space="0" w:color="auto"/>
            </w:tcBorders>
            <w:tcMar>
              <w:top w:w="0" w:type="dxa"/>
              <w:left w:w="108" w:type="dxa"/>
              <w:bottom w:w="0" w:type="dxa"/>
              <w:right w:w="108" w:type="dxa"/>
            </w:tcMar>
            <w:hideMark/>
          </w:tcPr>
          <w:p w:rsidR="00DD74FA" w:rsidRPr="00DD74FA" w:rsidRDefault="00DD74FA" w:rsidP="00DD74FA">
            <w:pPr>
              <w:spacing w:before="100" w:beforeAutospacing="1" w:after="100" w:afterAutospacing="1"/>
              <w:rPr>
                <w:rFonts w:ascii="Arial" w:eastAsia="Times New Roman" w:hAnsi="Arial" w:cs="Arial"/>
                <w:lang w:eastAsia="sl-SI"/>
              </w:rPr>
            </w:pPr>
            <w:r w:rsidRPr="00DD74FA">
              <w:rPr>
                <w:rFonts w:ascii="Arial" w:eastAsia="Times New Roman" w:hAnsi="Arial" w:cs="Arial"/>
                <w:lang w:eastAsia="sl-SI"/>
              </w:rPr>
              <w:t>30%</w:t>
            </w:r>
          </w:p>
        </w:tc>
      </w:tr>
      <w:tr w:rsidR="00DD74FA" w:rsidRPr="00DD74FA" w:rsidTr="00DD74FA">
        <w:trPr>
          <w:jc w:val="center"/>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4FA" w:rsidRPr="00DD74FA" w:rsidRDefault="00DD74FA" w:rsidP="00DD74FA">
            <w:pPr>
              <w:spacing w:before="100" w:beforeAutospacing="1" w:after="100" w:afterAutospacing="1"/>
              <w:jc w:val="left"/>
              <w:rPr>
                <w:rFonts w:ascii="Arial" w:eastAsia="Times New Roman" w:hAnsi="Arial" w:cs="Arial"/>
                <w:lang w:eastAsia="sl-SI"/>
              </w:rPr>
            </w:pPr>
            <w:r w:rsidRPr="00DD74FA">
              <w:rPr>
                <w:rFonts w:ascii="Arial" w:eastAsia="Times New Roman" w:hAnsi="Arial" w:cs="Arial"/>
                <w:lang w:eastAsia="sl-SI"/>
              </w:rPr>
              <w:t>do 80% realizacija programa plana enote</w:t>
            </w:r>
          </w:p>
        </w:tc>
        <w:tc>
          <w:tcPr>
            <w:tcW w:w="3860" w:type="dxa"/>
            <w:tcBorders>
              <w:top w:val="nil"/>
              <w:left w:val="nil"/>
              <w:bottom w:val="single" w:sz="8" w:space="0" w:color="auto"/>
              <w:right w:val="single" w:sz="8" w:space="0" w:color="auto"/>
            </w:tcBorders>
            <w:tcMar>
              <w:top w:w="0" w:type="dxa"/>
              <w:left w:w="108" w:type="dxa"/>
              <w:bottom w:w="0" w:type="dxa"/>
              <w:right w:w="108" w:type="dxa"/>
            </w:tcMar>
            <w:hideMark/>
          </w:tcPr>
          <w:p w:rsidR="00DD74FA" w:rsidRPr="00DD74FA" w:rsidRDefault="00DD74FA" w:rsidP="00DD74FA">
            <w:pPr>
              <w:spacing w:before="100" w:beforeAutospacing="1" w:after="100" w:afterAutospacing="1"/>
              <w:rPr>
                <w:rFonts w:ascii="Arial" w:eastAsia="Times New Roman" w:hAnsi="Arial" w:cs="Arial"/>
                <w:lang w:eastAsia="sl-SI"/>
              </w:rPr>
            </w:pPr>
            <w:r w:rsidRPr="00DD74FA">
              <w:rPr>
                <w:rFonts w:ascii="Arial" w:eastAsia="Times New Roman" w:hAnsi="Arial" w:cs="Arial"/>
                <w:lang w:eastAsia="sl-SI"/>
              </w:rPr>
              <w:t>0%</w:t>
            </w:r>
          </w:p>
        </w:tc>
      </w:tr>
    </w:tbl>
    <w:p w:rsidR="00DD74FA" w:rsidRDefault="00DD74FA" w:rsidP="00DD74FA">
      <w:pPr>
        <w:pStyle w:val="Brezrazmikov"/>
        <w:rPr>
          <w:rFonts w:ascii="Arial" w:hAnsi="Arial" w:cs="Arial"/>
        </w:rPr>
      </w:pPr>
    </w:p>
    <w:p w:rsidR="00DD74FA" w:rsidRPr="00DD74FA" w:rsidRDefault="00DD74FA" w:rsidP="00DD74FA">
      <w:pPr>
        <w:spacing w:before="100" w:beforeAutospacing="1" w:after="400"/>
        <w:jc w:val="left"/>
        <w:rPr>
          <w:rFonts w:ascii="Arial" w:eastAsia="Times New Roman" w:hAnsi="Arial" w:cs="Arial"/>
          <w:lang w:eastAsia="sl-SI"/>
        </w:rPr>
      </w:pPr>
      <w:r w:rsidRPr="00DD74FA">
        <w:rPr>
          <w:rFonts w:ascii="Arial" w:eastAsia="Times New Roman" w:hAnsi="Arial" w:cs="Arial"/>
          <w:lang w:eastAsia="sl-SI"/>
        </w:rPr>
        <w:t>Uspešnost izvajanja operativne dejavnosti (v višini 20% skupnega deleža) se ovrednoti po naslednjih merilih:</w:t>
      </w:r>
    </w:p>
    <w:tbl>
      <w:tblPr>
        <w:tblW w:w="0" w:type="auto"/>
        <w:jc w:val="center"/>
        <w:tblCellMar>
          <w:left w:w="0" w:type="dxa"/>
          <w:right w:w="0" w:type="dxa"/>
        </w:tblCellMar>
        <w:tblLook w:val="04A0" w:firstRow="1" w:lastRow="0" w:firstColumn="1" w:lastColumn="0" w:noHBand="0" w:noVBand="1"/>
      </w:tblPr>
      <w:tblGrid>
        <w:gridCol w:w="5458"/>
        <w:gridCol w:w="3755"/>
      </w:tblGrid>
      <w:tr w:rsidR="00DD74FA" w:rsidRPr="00DB4E18" w:rsidTr="00DB4E18">
        <w:trPr>
          <w:jc w:val="center"/>
        </w:trPr>
        <w:tc>
          <w:tcPr>
            <w:tcW w:w="54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74FA" w:rsidRPr="00DB4E18" w:rsidRDefault="00DD74FA" w:rsidP="00DB4E18">
            <w:pPr>
              <w:pStyle w:val="Brezrazmikov"/>
              <w:rPr>
                <w:rFonts w:ascii="Arial" w:hAnsi="Arial" w:cs="Arial"/>
                <w:lang w:eastAsia="sl-SI"/>
              </w:rPr>
            </w:pPr>
            <w:r w:rsidRPr="00DB4E18">
              <w:rPr>
                <w:rFonts w:ascii="Arial" w:hAnsi="Arial" w:cs="Arial"/>
                <w:lang w:eastAsia="sl-SI"/>
              </w:rPr>
              <w:lastRenderedPageBreak/>
              <w:t xml:space="preserve">Merilo uspešnosti </w:t>
            </w:r>
          </w:p>
        </w:tc>
        <w:tc>
          <w:tcPr>
            <w:tcW w:w="37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74FA" w:rsidRPr="00DB4E18" w:rsidRDefault="00DD74FA" w:rsidP="00DB4E18">
            <w:pPr>
              <w:pStyle w:val="Brezrazmikov"/>
              <w:rPr>
                <w:rFonts w:ascii="Arial" w:hAnsi="Arial" w:cs="Arial"/>
                <w:lang w:eastAsia="sl-SI"/>
              </w:rPr>
            </w:pPr>
            <w:r w:rsidRPr="00DB4E18">
              <w:rPr>
                <w:rFonts w:ascii="Arial" w:hAnsi="Arial" w:cs="Arial"/>
                <w:lang w:eastAsia="sl-SI"/>
              </w:rPr>
              <w:t>Višina% priznane uspešnosti</w:t>
            </w:r>
          </w:p>
        </w:tc>
      </w:tr>
      <w:tr w:rsidR="00DD74FA" w:rsidRPr="00DB4E18" w:rsidTr="00DB4E18">
        <w:trPr>
          <w:jc w:val="center"/>
        </w:trPr>
        <w:tc>
          <w:tcPr>
            <w:tcW w:w="5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4FA" w:rsidRPr="00DB4E18" w:rsidRDefault="00DD74FA" w:rsidP="00DB4E18">
            <w:pPr>
              <w:pStyle w:val="Brezrazmikov"/>
              <w:rPr>
                <w:rFonts w:ascii="Arial" w:hAnsi="Arial" w:cs="Arial"/>
                <w:lang w:eastAsia="sl-SI"/>
              </w:rPr>
            </w:pPr>
            <w:r w:rsidRPr="00DB4E18">
              <w:rPr>
                <w:rFonts w:ascii="Arial" w:hAnsi="Arial" w:cs="Arial"/>
                <w:lang w:eastAsia="sl-SI"/>
              </w:rPr>
              <w:t>Ni bilo upravičenih pripomb na delovanje enote</w:t>
            </w:r>
          </w:p>
        </w:tc>
        <w:tc>
          <w:tcPr>
            <w:tcW w:w="3755" w:type="dxa"/>
            <w:tcBorders>
              <w:top w:val="nil"/>
              <w:left w:val="nil"/>
              <w:bottom w:val="single" w:sz="8" w:space="0" w:color="auto"/>
              <w:right w:val="single" w:sz="8" w:space="0" w:color="auto"/>
            </w:tcBorders>
            <w:tcMar>
              <w:top w:w="0" w:type="dxa"/>
              <w:left w:w="108" w:type="dxa"/>
              <w:bottom w:w="0" w:type="dxa"/>
              <w:right w:w="108" w:type="dxa"/>
            </w:tcMar>
            <w:hideMark/>
          </w:tcPr>
          <w:p w:rsidR="00DD74FA" w:rsidRPr="00DB4E18" w:rsidRDefault="00DD74FA" w:rsidP="00DB4E18">
            <w:pPr>
              <w:pStyle w:val="Brezrazmikov"/>
              <w:rPr>
                <w:rFonts w:ascii="Arial" w:hAnsi="Arial" w:cs="Arial"/>
                <w:lang w:eastAsia="sl-SI"/>
              </w:rPr>
            </w:pPr>
            <w:r w:rsidRPr="00DB4E18">
              <w:rPr>
                <w:rFonts w:ascii="Arial" w:hAnsi="Arial" w:cs="Arial"/>
                <w:lang w:eastAsia="sl-SI"/>
              </w:rPr>
              <w:t>100%</w:t>
            </w:r>
          </w:p>
        </w:tc>
      </w:tr>
      <w:tr w:rsidR="00DD74FA" w:rsidRPr="00DB4E18" w:rsidTr="00DB4E18">
        <w:trPr>
          <w:jc w:val="center"/>
        </w:trPr>
        <w:tc>
          <w:tcPr>
            <w:tcW w:w="5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4FA" w:rsidRPr="00DB4E18" w:rsidRDefault="00DD74FA" w:rsidP="00DB4E18">
            <w:pPr>
              <w:pStyle w:val="Brezrazmikov"/>
              <w:rPr>
                <w:rFonts w:ascii="Arial" w:hAnsi="Arial" w:cs="Arial"/>
                <w:lang w:eastAsia="sl-SI"/>
              </w:rPr>
            </w:pPr>
            <w:r w:rsidRPr="00DB4E18">
              <w:rPr>
                <w:rFonts w:ascii="Arial" w:hAnsi="Arial" w:cs="Arial"/>
                <w:lang w:eastAsia="sl-SI"/>
              </w:rPr>
              <w:t>Od 1 do 10 upravičenih pripomb na delovanje enote</w:t>
            </w:r>
          </w:p>
        </w:tc>
        <w:tc>
          <w:tcPr>
            <w:tcW w:w="3755" w:type="dxa"/>
            <w:tcBorders>
              <w:top w:val="nil"/>
              <w:left w:val="nil"/>
              <w:bottom w:val="single" w:sz="8" w:space="0" w:color="auto"/>
              <w:right w:val="single" w:sz="8" w:space="0" w:color="auto"/>
            </w:tcBorders>
            <w:tcMar>
              <w:top w:w="0" w:type="dxa"/>
              <w:left w:w="108" w:type="dxa"/>
              <w:bottom w:w="0" w:type="dxa"/>
              <w:right w:w="108" w:type="dxa"/>
            </w:tcMar>
            <w:hideMark/>
          </w:tcPr>
          <w:p w:rsidR="00DD74FA" w:rsidRPr="00DB4E18" w:rsidRDefault="00DD74FA" w:rsidP="00DB4E18">
            <w:pPr>
              <w:pStyle w:val="Brezrazmikov"/>
              <w:rPr>
                <w:rFonts w:ascii="Arial" w:hAnsi="Arial" w:cs="Arial"/>
                <w:lang w:eastAsia="sl-SI"/>
              </w:rPr>
            </w:pPr>
            <w:r w:rsidRPr="00DB4E18">
              <w:rPr>
                <w:rFonts w:ascii="Arial" w:hAnsi="Arial" w:cs="Arial"/>
                <w:lang w:eastAsia="sl-SI"/>
              </w:rPr>
              <w:t>70%</w:t>
            </w:r>
          </w:p>
        </w:tc>
      </w:tr>
      <w:tr w:rsidR="00DD74FA" w:rsidRPr="00DB4E18" w:rsidTr="00DB4E18">
        <w:trPr>
          <w:jc w:val="center"/>
        </w:trPr>
        <w:tc>
          <w:tcPr>
            <w:tcW w:w="5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4FA" w:rsidRPr="00DB4E18" w:rsidRDefault="00DD74FA" w:rsidP="00DB4E18">
            <w:pPr>
              <w:pStyle w:val="Brezrazmikov"/>
              <w:rPr>
                <w:rFonts w:ascii="Arial" w:hAnsi="Arial" w:cs="Arial"/>
                <w:lang w:eastAsia="sl-SI"/>
              </w:rPr>
            </w:pPr>
            <w:r w:rsidRPr="00DB4E18">
              <w:rPr>
                <w:rFonts w:ascii="Arial" w:hAnsi="Arial" w:cs="Arial"/>
                <w:lang w:eastAsia="sl-SI"/>
              </w:rPr>
              <w:t>11 in več upravičenih pripomb na delovanje enote</w:t>
            </w:r>
          </w:p>
        </w:tc>
        <w:tc>
          <w:tcPr>
            <w:tcW w:w="3755" w:type="dxa"/>
            <w:tcBorders>
              <w:top w:val="nil"/>
              <w:left w:val="nil"/>
              <w:bottom w:val="single" w:sz="8" w:space="0" w:color="auto"/>
              <w:right w:val="single" w:sz="8" w:space="0" w:color="auto"/>
            </w:tcBorders>
            <w:tcMar>
              <w:top w:w="0" w:type="dxa"/>
              <w:left w:w="108" w:type="dxa"/>
              <w:bottom w:w="0" w:type="dxa"/>
              <w:right w:w="108" w:type="dxa"/>
            </w:tcMar>
            <w:hideMark/>
          </w:tcPr>
          <w:p w:rsidR="00DD74FA" w:rsidRPr="00DB4E18" w:rsidRDefault="00DD74FA" w:rsidP="00DB4E18">
            <w:pPr>
              <w:pStyle w:val="Brezrazmikov"/>
              <w:rPr>
                <w:rFonts w:ascii="Arial" w:hAnsi="Arial" w:cs="Arial"/>
                <w:lang w:eastAsia="sl-SI"/>
              </w:rPr>
            </w:pPr>
            <w:r w:rsidRPr="00DB4E18">
              <w:rPr>
                <w:rFonts w:ascii="Arial" w:hAnsi="Arial" w:cs="Arial"/>
                <w:lang w:eastAsia="sl-SI"/>
              </w:rPr>
              <w:t>0%</w:t>
            </w:r>
          </w:p>
        </w:tc>
      </w:tr>
    </w:tbl>
    <w:p w:rsidR="00DD74FA" w:rsidRDefault="00DD74FA" w:rsidP="00DD74FA">
      <w:pPr>
        <w:pStyle w:val="Brezrazmikov"/>
        <w:rPr>
          <w:rFonts w:ascii="Arial" w:hAnsi="Arial" w:cs="Arial"/>
        </w:rPr>
      </w:pPr>
    </w:p>
    <w:p w:rsidR="00DB4E18" w:rsidRPr="00DB4E18" w:rsidRDefault="00DB4E18" w:rsidP="00DB4E18">
      <w:pPr>
        <w:pStyle w:val="Brezrazmikov"/>
        <w:jc w:val="both"/>
        <w:rPr>
          <w:rFonts w:ascii="Arial" w:hAnsi="Arial" w:cs="Arial"/>
        </w:rPr>
      </w:pPr>
      <w:r w:rsidRPr="00DB4E18">
        <w:rPr>
          <w:rFonts w:ascii="Arial" w:hAnsi="Arial" w:cs="Arial"/>
        </w:rPr>
        <w:t>7. člen Uredbe o plačah direktorjev v javnem sektorju (Uradni list RS, št. 68/17, 4/18, 30/18, 116/21, 180/21, 29/22, 89/22, 112/22 in 25/23</w:t>
      </w:r>
      <w:r w:rsidR="00635B3D">
        <w:rPr>
          <w:rFonts w:ascii="Arial" w:hAnsi="Arial" w:cs="Arial"/>
        </w:rPr>
        <w:t>; Uredba</w:t>
      </w:r>
      <w:r w:rsidRPr="00DB4E18">
        <w:rPr>
          <w:rFonts w:ascii="Arial" w:hAnsi="Arial" w:cs="Arial"/>
        </w:rPr>
        <w:t>) med drugim določa, da mora o</w:t>
      </w:r>
      <w:proofErr w:type="spellStart"/>
      <w:r w:rsidRPr="00DB4E18">
        <w:rPr>
          <w:rFonts w:ascii="Arial" w:hAnsi="Arial" w:cs="Arial"/>
          <w:lang w:val="x-none"/>
        </w:rPr>
        <w:t>rgan</w:t>
      </w:r>
      <w:proofErr w:type="spellEnd"/>
      <w:r w:rsidRPr="00DB4E18">
        <w:rPr>
          <w:rFonts w:ascii="Arial" w:hAnsi="Arial" w:cs="Arial"/>
          <w:lang w:val="x-none"/>
        </w:rPr>
        <w:t>, pristojen za imenovanje direktorja, pri odločanju o višini dela plače za redno delovno uspešnost pridobiti soglasje ustanovitelja. Ustanovitelj izda soglasje za izplačilo dela plače za delovno uspešnost najpozneje v 30 dneh po prejemu vloge za izdajo soglasja. Če ustanovitelj soglasja v 30 dneh od prejema popolne vloge ne izda oziroma njegove izdaje ne zavrne, se šteje, da je soglasje dano.</w:t>
      </w:r>
      <w:r w:rsidRPr="00DB4E18">
        <w:rPr>
          <w:rFonts w:ascii="Arial" w:hAnsi="Arial" w:cs="Arial"/>
        </w:rPr>
        <w:t xml:space="preserve"> V</w:t>
      </w:r>
      <w:r w:rsidRPr="00DB4E18">
        <w:rPr>
          <w:rFonts w:ascii="Arial" w:hAnsi="Arial" w:cs="Arial"/>
          <w:lang w:val="x-none"/>
        </w:rPr>
        <w:t>loga za izdajo soglasja mora vsebovati poslovno poročilo in utemeljitev izplačila dela plače za delovno uspešnost na podlagi meril, določenih s pravilnikom pristojnega ministra.</w:t>
      </w:r>
    </w:p>
    <w:p w:rsidR="00DD74FA" w:rsidRDefault="00DD74FA" w:rsidP="0055727F">
      <w:pPr>
        <w:pStyle w:val="Brezrazmikov"/>
        <w:rPr>
          <w:rFonts w:ascii="Arial" w:hAnsi="Arial" w:cs="Arial"/>
        </w:rPr>
      </w:pPr>
    </w:p>
    <w:p w:rsidR="00CB3DD5" w:rsidRPr="00097EF2" w:rsidRDefault="00DB4E18" w:rsidP="00097EF2">
      <w:pPr>
        <w:pStyle w:val="Brezrazmikov"/>
        <w:jc w:val="both"/>
        <w:rPr>
          <w:rFonts w:ascii="Arial" w:hAnsi="Arial" w:cs="Arial"/>
        </w:rPr>
      </w:pPr>
      <w:r w:rsidRPr="00097EF2">
        <w:rPr>
          <w:rFonts w:ascii="Arial" w:hAnsi="Arial" w:cs="Arial"/>
        </w:rPr>
        <w:t>Direktorjem pripada redna delovna uspešnost v okvir</w:t>
      </w:r>
      <w:r w:rsidR="00635B3D" w:rsidRPr="00097EF2">
        <w:rPr>
          <w:rFonts w:ascii="Arial" w:hAnsi="Arial" w:cs="Arial"/>
        </w:rPr>
        <w:t xml:space="preserve">u obsega sredstev, ki so za ta </w:t>
      </w:r>
      <w:r w:rsidRPr="00097EF2">
        <w:rPr>
          <w:rFonts w:ascii="Arial" w:hAnsi="Arial" w:cs="Arial"/>
        </w:rPr>
        <w:t>n</w:t>
      </w:r>
      <w:r w:rsidR="00635B3D" w:rsidRPr="00097EF2">
        <w:rPr>
          <w:rFonts w:ascii="Arial" w:hAnsi="Arial" w:cs="Arial"/>
        </w:rPr>
        <w:t>a</w:t>
      </w:r>
      <w:r w:rsidRPr="00097EF2">
        <w:rPr>
          <w:rFonts w:ascii="Arial" w:hAnsi="Arial" w:cs="Arial"/>
        </w:rPr>
        <w:t xml:space="preserve">men zagotovljena v skladu s </w:t>
      </w:r>
      <w:r w:rsidR="00635B3D" w:rsidRPr="00097EF2">
        <w:rPr>
          <w:rFonts w:ascii="Arial" w:hAnsi="Arial" w:cs="Arial"/>
        </w:rPr>
        <w:t xml:space="preserve">27. členom </w:t>
      </w:r>
      <w:r w:rsidRPr="00097EF2">
        <w:rPr>
          <w:rFonts w:ascii="Arial" w:hAnsi="Arial" w:cs="Arial"/>
        </w:rPr>
        <w:t>Kolek</w:t>
      </w:r>
      <w:r w:rsidR="00635B3D" w:rsidRPr="00097EF2">
        <w:rPr>
          <w:rFonts w:ascii="Arial" w:hAnsi="Arial" w:cs="Arial"/>
        </w:rPr>
        <w:t xml:space="preserve">tivne pogodbe za javni sektor  (Uradni list RS, št. 57/08, 23/09, 91/09, 89/10, 89/10, 40/12, 46/13, 95/14, 91/15, 21/17, 46/17, 69/17, 80/18 in 136/22) – skupen obseg sredstev znaša 2%. V skladu z določbo drugega odstavka 7. člena Uredbe se lahko </w:t>
      </w:r>
      <w:r w:rsidR="00635B3D" w:rsidRPr="00097EF2">
        <w:rPr>
          <w:rFonts w:ascii="Arial" w:hAnsi="Arial" w:cs="Arial"/>
          <w:lang w:val="x-none"/>
        </w:rPr>
        <w:t>določi v višjem obsegu, kot so za ta namen zagotovljena sredstva v skladu s kolektivno pogodb za javni sektor, pod pogojem, da višji obseg ne posega v obseg sredstev za redno delovno uspešnost javnih uslužbencev, in pod pogojem, da so sredstva za ta namen zagotovljena.</w:t>
      </w:r>
      <w:r w:rsidR="00635B3D" w:rsidRPr="00097EF2">
        <w:rPr>
          <w:rFonts w:ascii="Arial" w:hAnsi="Arial" w:cs="Arial"/>
        </w:rPr>
        <w:t xml:space="preserve"> </w:t>
      </w:r>
    </w:p>
    <w:p w:rsidR="00635B3D" w:rsidRPr="00097EF2" w:rsidRDefault="00635B3D" w:rsidP="00097EF2">
      <w:pPr>
        <w:pStyle w:val="Brezrazmikov"/>
        <w:jc w:val="both"/>
        <w:rPr>
          <w:rFonts w:ascii="Arial" w:hAnsi="Arial" w:cs="Arial"/>
        </w:rPr>
      </w:pPr>
    </w:p>
    <w:p w:rsidR="00635B3D" w:rsidRPr="00097EF2" w:rsidRDefault="00635B3D" w:rsidP="00097EF2">
      <w:pPr>
        <w:pStyle w:val="Brezrazmikov"/>
        <w:jc w:val="both"/>
        <w:rPr>
          <w:rFonts w:ascii="Arial" w:hAnsi="Arial" w:cs="Arial"/>
        </w:rPr>
      </w:pPr>
      <w:r w:rsidRPr="00097EF2">
        <w:rPr>
          <w:rFonts w:ascii="Arial" w:hAnsi="Arial" w:cs="Arial"/>
        </w:rPr>
        <w:t xml:space="preserve">Dne 15. 3. 2023 smo prejeli Vlogo za izdajo soglasja za določitev delovne uspešnosti direktorju – poveljniku Zavoda za gasilno in reševalno službo Sežana. </w:t>
      </w:r>
      <w:r w:rsidR="00097EF2" w:rsidRPr="00097EF2">
        <w:rPr>
          <w:rFonts w:ascii="Arial" w:hAnsi="Arial" w:cs="Arial"/>
        </w:rPr>
        <w:t>Vlogi je bilo priloženo poročilo za leto 2022 ter utemeljitev izplačila plače za delovno uspešnost na podlagi meril, določenih s Pravilnikom o merilih za ugotavljanje delovne uspešnosti direktorjev na področju gasilsko reševalne dejavnosti (Uradni list RS 28/06); zapisnik 2. redne seje Sveta zavoda ZGRS z dne 23. 2. 2023. Svet zavoda je sprejel sklep, da se direktorju poveljniku ZGRS Sežana določi redna delovna uspešnost za leto 2022 v višini 100% v skladu s Pravilnikom o merilih za ugotavljanje delovne uspešnosti direktorjev na področju gasilsko reševalne dejavnosti</w:t>
      </w:r>
      <w:r w:rsidR="000E4A7B">
        <w:rPr>
          <w:rFonts w:ascii="Arial" w:hAnsi="Arial" w:cs="Arial"/>
        </w:rPr>
        <w:t xml:space="preserve"> ter, da se d</w:t>
      </w:r>
      <w:r w:rsidR="00097EF2" w:rsidRPr="00097EF2">
        <w:rPr>
          <w:rFonts w:ascii="Arial" w:hAnsi="Arial" w:cs="Arial"/>
        </w:rPr>
        <w:t>irektorju – poveljniku nameni sredstva v višini 5% letne mase njegove osnovne plače.</w:t>
      </w:r>
    </w:p>
    <w:p w:rsidR="00097EF2" w:rsidRPr="00097EF2" w:rsidRDefault="00097EF2" w:rsidP="00097EF2">
      <w:pPr>
        <w:pStyle w:val="Brezrazmikov"/>
        <w:jc w:val="both"/>
        <w:rPr>
          <w:rFonts w:ascii="Arial" w:hAnsi="Arial" w:cs="Arial"/>
        </w:rPr>
      </w:pPr>
    </w:p>
    <w:p w:rsidR="00097EF2" w:rsidRDefault="00097EF2" w:rsidP="00097EF2">
      <w:pPr>
        <w:pStyle w:val="Brezrazmikov"/>
        <w:jc w:val="both"/>
        <w:rPr>
          <w:rFonts w:ascii="Arial" w:hAnsi="Arial" w:cs="Arial"/>
        </w:rPr>
      </w:pPr>
      <w:r w:rsidRPr="00097EF2">
        <w:rPr>
          <w:rFonts w:ascii="Arial" w:hAnsi="Arial" w:cs="Arial"/>
        </w:rPr>
        <w:t>V skladu s 7. členom Uredbe poda ustanovitelj soglasje za izplačilo dela plače za redno delovno uspešnost najpozneje v roku 30 dni od prejema popolne vloge. V kolikor ustanovitelj v roku 30 dni soglasja ne izda oziroma njegove izdaje ne zavrne, se šteje, da je soglasje dano.</w:t>
      </w:r>
    </w:p>
    <w:p w:rsidR="00097EF2" w:rsidRPr="00097EF2" w:rsidRDefault="00097EF2" w:rsidP="00097EF2">
      <w:pPr>
        <w:pStyle w:val="Brezrazmikov"/>
        <w:jc w:val="both"/>
        <w:rPr>
          <w:rFonts w:ascii="Arial" w:hAnsi="Arial" w:cs="Arial"/>
        </w:rPr>
      </w:pPr>
      <w:r>
        <w:rPr>
          <w:rFonts w:ascii="Arial" w:hAnsi="Arial" w:cs="Arial"/>
        </w:rPr>
        <w:t>Izplačilo redne delovne uspešnosti ne predstavlja dodatnih finančnih obremenitev za občinski proračun.</w:t>
      </w:r>
    </w:p>
    <w:p w:rsidR="00635B3D" w:rsidRDefault="00635B3D" w:rsidP="0055727F">
      <w:pPr>
        <w:pStyle w:val="Brezrazmikov"/>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B3DD5" w:rsidRPr="0055727F" w:rsidTr="00B67FCB">
        <w:tc>
          <w:tcPr>
            <w:tcW w:w="4606" w:type="dxa"/>
          </w:tcPr>
          <w:p w:rsidR="00CB3DD5" w:rsidRPr="006861D7" w:rsidRDefault="00CB3DD5" w:rsidP="0055727F">
            <w:pPr>
              <w:pStyle w:val="Brezrazmikov"/>
              <w:rPr>
                <w:rFonts w:ascii="Arial" w:hAnsi="Arial" w:cs="Arial"/>
                <w:sz w:val="20"/>
                <w:szCs w:val="20"/>
              </w:rPr>
            </w:pPr>
            <w:r w:rsidRPr="006861D7">
              <w:rPr>
                <w:rFonts w:ascii="Arial" w:hAnsi="Arial" w:cs="Arial"/>
                <w:sz w:val="20"/>
                <w:szCs w:val="20"/>
              </w:rPr>
              <w:t>Pripravila:</w:t>
            </w:r>
          </w:p>
          <w:p w:rsidR="00CB3DD5" w:rsidRPr="0055727F" w:rsidRDefault="005A7E56" w:rsidP="0055727F">
            <w:pPr>
              <w:pStyle w:val="Brezrazmikov"/>
              <w:rPr>
                <w:rFonts w:ascii="Arial" w:hAnsi="Arial" w:cs="Arial"/>
              </w:rPr>
            </w:pPr>
            <w:r w:rsidRPr="006861D7">
              <w:rPr>
                <w:rFonts w:ascii="Arial" w:hAnsi="Arial" w:cs="Arial"/>
                <w:sz w:val="20"/>
                <w:szCs w:val="20"/>
              </w:rPr>
              <w:t xml:space="preserve">mag. </w:t>
            </w:r>
            <w:r w:rsidR="00CB3DD5" w:rsidRPr="006861D7">
              <w:rPr>
                <w:rFonts w:ascii="Arial" w:hAnsi="Arial" w:cs="Arial"/>
                <w:sz w:val="20"/>
                <w:szCs w:val="20"/>
              </w:rPr>
              <w:t>Andreja Štok</w:t>
            </w:r>
          </w:p>
        </w:tc>
        <w:tc>
          <w:tcPr>
            <w:tcW w:w="4606" w:type="dxa"/>
          </w:tcPr>
          <w:p w:rsidR="00CB3DD5" w:rsidRPr="0055727F" w:rsidRDefault="00CB3DD5" w:rsidP="0055727F">
            <w:pPr>
              <w:pStyle w:val="Brezrazmikov"/>
              <w:rPr>
                <w:rFonts w:ascii="Arial" w:hAnsi="Arial" w:cs="Arial"/>
              </w:rPr>
            </w:pPr>
          </w:p>
        </w:tc>
      </w:tr>
      <w:tr w:rsidR="00CB3DD5" w:rsidRPr="0055727F" w:rsidTr="00B67FCB">
        <w:tc>
          <w:tcPr>
            <w:tcW w:w="4606" w:type="dxa"/>
          </w:tcPr>
          <w:p w:rsidR="00CB3DD5" w:rsidRPr="0055727F" w:rsidRDefault="00CB3DD5" w:rsidP="0055727F">
            <w:pPr>
              <w:pStyle w:val="Brezrazmikov"/>
              <w:rPr>
                <w:rFonts w:ascii="Arial" w:hAnsi="Arial" w:cs="Arial"/>
              </w:rPr>
            </w:pPr>
          </w:p>
        </w:tc>
        <w:tc>
          <w:tcPr>
            <w:tcW w:w="4606" w:type="dxa"/>
          </w:tcPr>
          <w:p w:rsidR="00CB3DD5" w:rsidRPr="0055727F" w:rsidRDefault="00097EF2" w:rsidP="0055727F">
            <w:pPr>
              <w:pStyle w:val="Brezrazmikov"/>
              <w:jc w:val="center"/>
              <w:rPr>
                <w:rFonts w:ascii="Arial" w:hAnsi="Arial" w:cs="Arial"/>
                <w:b/>
              </w:rPr>
            </w:pPr>
            <w:r>
              <w:rPr>
                <w:rFonts w:ascii="Arial" w:hAnsi="Arial" w:cs="Arial"/>
                <w:b/>
              </w:rPr>
              <w:t>Mag. Erik Modic, župan</w:t>
            </w:r>
          </w:p>
        </w:tc>
      </w:tr>
    </w:tbl>
    <w:p w:rsidR="00CB3DD5" w:rsidRPr="0055727F" w:rsidRDefault="00CB3DD5" w:rsidP="0055727F">
      <w:pPr>
        <w:pStyle w:val="Brezrazmikov"/>
        <w:rPr>
          <w:rFonts w:ascii="Arial" w:hAnsi="Arial" w:cs="Arial"/>
        </w:rPr>
      </w:pPr>
    </w:p>
    <w:p w:rsidR="00CB3DD5" w:rsidRPr="00772A68" w:rsidRDefault="00CB3DD5" w:rsidP="0055727F">
      <w:pPr>
        <w:pStyle w:val="Brezrazmikov"/>
        <w:rPr>
          <w:rFonts w:ascii="Arial" w:hAnsi="Arial" w:cs="Arial"/>
          <w:sz w:val="20"/>
          <w:szCs w:val="20"/>
        </w:rPr>
      </w:pPr>
    </w:p>
    <w:p w:rsidR="005275FE" w:rsidRPr="00772A68" w:rsidRDefault="005275FE" w:rsidP="0055727F">
      <w:pPr>
        <w:pStyle w:val="Brezrazmikov"/>
        <w:rPr>
          <w:rFonts w:ascii="Arial" w:hAnsi="Arial" w:cs="Arial"/>
          <w:sz w:val="20"/>
          <w:szCs w:val="20"/>
        </w:rPr>
      </w:pPr>
    </w:p>
    <w:p w:rsidR="005275FE" w:rsidRPr="00772A68" w:rsidRDefault="00667361" w:rsidP="0055727F">
      <w:pPr>
        <w:pStyle w:val="Brezrazmikov"/>
        <w:rPr>
          <w:rFonts w:ascii="Arial" w:hAnsi="Arial" w:cs="Arial"/>
          <w:sz w:val="20"/>
          <w:szCs w:val="20"/>
        </w:rPr>
      </w:pPr>
      <w:r w:rsidRPr="00772A68">
        <w:rPr>
          <w:rFonts w:ascii="Arial" w:hAnsi="Arial" w:cs="Arial"/>
          <w:sz w:val="20"/>
          <w:szCs w:val="20"/>
        </w:rPr>
        <w:t>Priloga:</w:t>
      </w:r>
    </w:p>
    <w:p w:rsidR="00667361" w:rsidRDefault="00667361" w:rsidP="00667361">
      <w:pPr>
        <w:pStyle w:val="Brezrazmikov"/>
        <w:numPr>
          <w:ilvl w:val="0"/>
          <w:numId w:val="6"/>
        </w:numPr>
        <w:rPr>
          <w:rFonts w:ascii="Arial" w:hAnsi="Arial" w:cs="Arial"/>
          <w:sz w:val="20"/>
          <w:szCs w:val="20"/>
        </w:rPr>
      </w:pPr>
      <w:r w:rsidRPr="00772A68">
        <w:rPr>
          <w:rFonts w:ascii="Arial" w:hAnsi="Arial" w:cs="Arial"/>
          <w:sz w:val="20"/>
          <w:szCs w:val="20"/>
        </w:rPr>
        <w:t>Vl</w:t>
      </w:r>
      <w:r w:rsidR="00772A68" w:rsidRPr="00772A68">
        <w:rPr>
          <w:rFonts w:ascii="Arial" w:hAnsi="Arial" w:cs="Arial"/>
          <w:sz w:val="20"/>
          <w:szCs w:val="20"/>
        </w:rPr>
        <w:t>o</w:t>
      </w:r>
      <w:r w:rsidRPr="00772A68">
        <w:rPr>
          <w:rFonts w:ascii="Arial" w:hAnsi="Arial" w:cs="Arial"/>
          <w:sz w:val="20"/>
          <w:szCs w:val="20"/>
        </w:rPr>
        <w:t>ga ZGRS</w:t>
      </w:r>
      <w:r w:rsidR="00772A68">
        <w:rPr>
          <w:rFonts w:ascii="Arial" w:hAnsi="Arial" w:cs="Arial"/>
          <w:sz w:val="20"/>
          <w:szCs w:val="20"/>
        </w:rPr>
        <w:t xml:space="preserve"> št. 97-2/2023</w:t>
      </w:r>
      <w:r w:rsidRPr="00772A68">
        <w:rPr>
          <w:rFonts w:ascii="Arial" w:hAnsi="Arial" w:cs="Arial"/>
          <w:sz w:val="20"/>
          <w:szCs w:val="20"/>
        </w:rPr>
        <w:t xml:space="preserve"> </w:t>
      </w:r>
      <w:r w:rsidR="00772A68" w:rsidRPr="00772A68">
        <w:rPr>
          <w:rFonts w:ascii="Arial" w:hAnsi="Arial" w:cs="Arial"/>
          <w:sz w:val="20"/>
          <w:szCs w:val="20"/>
        </w:rPr>
        <w:t>z dne 14. 3. 2023</w:t>
      </w:r>
    </w:p>
    <w:p w:rsidR="00426795" w:rsidRPr="00772A68" w:rsidRDefault="00426795" w:rsidP="00667361">
      <w:pPr>
        <w:pStyle w:val="Brezrazmikov"/>
        <w:numPr>
          <w:ilvl w:val="0"/>
          <w:numId w:val="6"/>
        </w:numPr>
        <w:rPr>
          <w:rFonts w:ascii="Arial" w:hAnsi="Arial" w:cs="Arial"/>
          <w:sz w:val="20"/>
          <w:szCs w:val="20"/>
        </w:rPr>
      </w:pPr>
      <w:r>
        <w:rPr>
          <w:rFonts w:ascii="Arial" w:hAnsi="Arial" w:cs="Arial"/>
          <w:sz w:val="20"/>
          <w:szCs w:val="20"/>
        </w:rPr>
        <w:t xml:space="preserve">Zapisnik sveta ZGRS št. 50/2023 </w:t>
      </w:r>
      <w:bookmarkStart w:id="0" w:name="_GoBack"/>
      <w:bookmarkEnd w:id="0"/>
      <w:r>
        <w:rPr>
          <w:rFonts w:ascii="Arial" w:hAnsi="Arial" w:cs="Arial"/>
          <w:sz w:val="20"/>
          <w:szCs w:val="20"/>
        </w:rPr>
        <w:t>z dne 23. 2. 2023</w:t>
      </w:r>
    </w:p>
    <w:p w:rsidR="006861D7" w:rsidRPr="00772A68" w:rsidRDefault="006861D7" w:rsidP="0055727F">
      <w:pPr>
        <w:pStyle w:val="Brezrazmikov"/>
        <w:rPr>
          <w:rFonts w:ascii="Arial" w:hAnsi="Arial" w:cs="Arial"/>
          <w:sz w:val="20"/>
          <w:szCs w:val="20"/>
        </w:rPr>
      </w:pPr>
    </w:p>
    <w:p w:rsidR="006861D7" w:rsidRDefault="006861D7" w:rsidP="0055727F">
      <w:pPr>
        <w:pStyle w:val="Brezrazmikov"/>
        <w:rPr>
          <w:rFonts w:ascii="Arial" w:hAnsi="Arial" w:cs="Arial"/>
        </w:rPr>
      </w:pPr>
    </w:p>
    <w:p w:rsidR="006861D7" w:rsidRPr="0055727F" w:rsidRDefault="006861D7" w:rsidP="0055727F">
      <w:pPr>
        <w:pStyle w:val="Brezrazmikov"/>
        <w:rPr>
          <w:rFonts w:ascii="Arial" w:hAnsi="Arial" w:cs="Arial"/>
        </w:rPr>
      </w:pPr>
    </w:p>
    <w:p w:rsidR="00CB3DD5" w:rsidRPr="0055727F" w:rsidRDefault="00CB3DD5" w:rsidP="0055727F">
      <w:pPr>
        <w:pStyle w:val="Brezrazmikov"/>
        <w:rPr>
          <w:rFonts w:ascii="Arial" w:hAnsi="Arial" w:cs="Arial"/>
        </w:rPr>
      </w:pPr>
    </w:p>
    <w:tbl>
      <w:tblPr>
        <w:tblW w:w="0" w:type="auto"/>
        <w:tblLayout w:type="fixed"/>
        <w:tblLook w:val="0000" w:firstRow="0" w:lastRow="0" w:firstColumn="0" w:lastColumn="0" w:noHBand="0" w:noVBand="0"/>
      </w:tblPr>
      <w:tblGrid>
        <w:gridCol w:w="2802"/>
      </w:tblGrid>
      <w:tr w:rsidR="00CB3DD5" w:rsidRPr="0055727F" w:rsidTr="00B67FCB">
        <w:trPr>
          <w:trHeight w:val="528"/>
        </w:trPr>
        <w:tc>
          <w:tcPr>
            <w:tcW w:w="2802" w:type="dxa"/>
          </w:tcPr>
          <w:p w:rsidR="00CB3DD5" w:rsidRPr="00F038F3" w:rsidRDefault="00CB3DD5" w:rsidP="006861D7">
            <w:pPr>
              <w:pStyle w:val="Brezrazmikov"/>
              <w:jc w:val="center"/>
              <w:rPr>
                <w:rFonts w:ascii="Arial" w:hAnsi="Arial" w:cs="Arial"/>
                <w:i/>
              </w:rPr>
            </w:pPr>
            <w:r w:rsidRPr="00F038F3">
              <w:rPr>
                <w:rFonts w:ascii="Arial" w:hAnsi="Arial" w:cs="Arial"/>
                <w:i/>
                <w:noProof/>
                <w:lang w:eastAsia="sl-SI"/>
              </w:rPr>
              <w:lastRenderedPageBreak/>
              <w:drawing>
                <wp:inline distT="0" distB="0" distL="0" distR="0">
                  <wp:extent cx="765810" cy="925195"/>
                  <wp:effectExtent l="19050" t="0" r="0" b="0"/>
                  <wp:docPr id="2"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6"/>
                          <a:srcRect/>
                          <a:stretch>
                            <a:fillRect/>
                          </a:stretch>
                        </pic:blipFill>
                        <pic:spPr bwMode="auto">
                          <a:xfrm>
                            <a:off x="0" y="0"/>
                            <a:ext cx="765810" cy="925195"/>
                          </a:xfrm>
                          <a:prstGeom prst="rect">
                            <a:avLst/>
                          </a:prstGeom>
                          <a:noFill/>
                          <a:ln w="9525">
                            <a:noFill/>
                            <a:miter lim="800000"/>
                            <a:headEnd/>
                            <a:tailEnd/>
                          </a:ln>
                        </pic:spPr>
                      </pic:pic>
                    </a:graphicData>
                  </a:graphic>
                </wp:inline>
              </w:drawing>
            </w:r>
          </w:p>
        </w:tc>
      </w:tr>
      <w:tr w:rsidR="00CB3DD5" w:rsidRPr="0055727F" w:rsidTr="00B67FCB">
        <w:trPr>
          <w:trHeight w:val="251"/>
        </w:trPr>
        <w:tc>
          <w:tcPr>
            <w:tcW w:w="2802" w:type="dxa"/>
          </w:tcPr>
          <w:p w:rsidR="00CB3DD5" w:rsidRPr="00F038F3" w:rsidRDefault="00CB3DD5" w:rsidP="006861D7">
            <w:pPr>
              <w:pStyle w:val="Brezrazmikov"/>
              <w:jc w:val="center"/>
              <w:rPr>
                <w:rFonts w:ascii="Arial" w:hAnsi="Arial" w:cs="Arial"/>
                <w:b/>
                <w:i/>
              </w:rPr>
            </w:pPr>
            <w:r w:rsidRPr="00F038F3">
              <w:rPr>
                <w:rFonts w:ascii="Arial" w:hAnsi="Arial" w:cs="Arial"/>
                <w:b/>
                <w:i/>
              </w:rPr>
              <w:t>Občina Komen</w:t>
            </w:r>
          </w:p>
          <w:p w:rsidR="00CB3DD5" w:rsidRPr="00F038F3" w:rsidRDefault="00CB3DD5" w:rsidP="006861D7">
            <w:pPr>
              <w:pStyle w:val="Brezrazmikov"/>
              <w:jc w:val="center"/>
              <w:rPr>
                <w:rFonts w:ascii="Arial" w:hAnsi="Arial" w:cs="Arial"/>
                <w:b/>
                <w:i/>
              </w:rPr>
            </w:pPr>
            <w:r w:rsidRPr="00F038F3">
              <w:rPr>
                <w:rFonts w:ascii="Arial" w:hAnsi="Arial" w:cs="Arial"/>
                <w:b/>
                <w:i/>
              </w:rPr>
              <w:t>Občinski svet</w:t>
            </w:r>
          </w:p>
          <w:p w:rsidR="00CB3DD5" w:rsidRPr="00F038F3" w:rsidRDefault="00CB3DD5" w:rsidP="006861D7">
            <w:pPr>
              <w:pStyle w:val="Brezrazmikov"/>
              <w:jc w:val="center"/>
              <w:rPr>
                <w:rFonts w:ascii="Arial" w:hAnsi="Arial" w:cs="Arial"/>
                <w:b/>
                <w:i/>
              </w:rPr>
            </w:pPr>
            <w:r w:rsidRPr="00F038F3">
              <w:rPr>
                <w:rFonts w:ascii="Arial" w:hAnsi="Arial" w:cs="Arial"/>
                <w:b/>
                <w:i/>
              </w:rPr>
              <w:t>Komen 86, 6223 Komen</w:t>
            </w:r>
          </w:p>
        </w:tc>
      </w:tr>
    </w:tbl>
    <w:p w:rsidR="00CB3DD5" w:rsidRPr="0055727F" w:rsidRDefault="00CB3DD5" w:rsidP="0055727F">
      <w:pPr>
        <w:pStyle w:val="Brezrazmikov"/>
        <w:rPr>
          <w:rFonts w:ascii="Arial" w:hAnsi="Arial" w:cs="Arial"/>
        </w:rPr>
      </w:pPr>
    </w:p>
    <w:p w:rsidR="00CB3DD5" w:rsidRPr="006861D7" w:rsidRDefault="00CB3DD5" w:rsidP="0055727F">
      <w:pPr>
        <w:pStyle w:val="Brezrazmikov"/>
        <w:rPr>
          <w:rFonts w:ascii="Arial" w:hAnsi="Arial" w:cs="Arial"/>
          <w:sz w:val="20"/>
          <w:szCs w:val="20"/>
        </w:rPr>
      </w:pPr>
    </w:p>
    <w:p w:rsidR="00CB3DD5" w:rsidRPr="006861D7" w:rsidRDefault="00CB3DD5" w:rsidP="0055727F">
      <w:pPr>
        <w:pStyle w:val="Brezrazmikov"/>
        <w:rPr>
          <w:rFonts w:ascii="Arial" w:hAnsi="Arial" w:cs="Arial"/>
          <w:i/>
          <w:sz w:val="20"/>
          <w:szCs w:val="20"/>
        </w:rPr>
      </w:pPr>
      <w:r w:rsidRPr="006861D7">
        <w:rPr>
          <w:rFonts w:ascii="Arial" w:hAnsi="Arial" w:cs="Arial"/>
          <w:i/>
          <w:sz w:val="20"/>
          <w:szCs w:val="20"/>
        </w:rPr>
        <w:t xml:space="preserve">Številka: </w:t>
      </w:r>
    </w:p>
    <w:p w:rsidR="00CB3DD5" w:rsidRPr="006861D7" w:rsidRDefault="00CB3DD5" w:rsidP="0055727F">
      <w:pPr>
        <w:pStyle w:val="Brezrazmikov"/>
        <w:rPr>
          <w:rFonts w:ascii="Arial" w:hAnsi="Arial" w:cs="Arial"/>
          <w:i/>
          <w:sz w:val="20"/>
          <w:szCs w:val="20"/>
        </w:rPr>
      </w:pPr>
      <w:r w:rsidRPr="006861D7">
        <w:rPr>
          <w:rFonts w:ascii="Arial" w:hAnsi="Arial" w:cs="Arial"/>
          <w:i/>
          <w:sz w:val="20"/>
          <w:szCs w:val="20"/>
        </w:rPr>
        <w:t xml:space="preserve">Datum:   </w:t>
      </w:r>
    </w:p>
    <w:p w:rsidR="00CB3DD5" w:rsidRPr="0055727F" w:rsidRDefault="00CB3DD5" w:rsidP="0055727F">
      <w:pPr>
        <w:pStyle w:val="Brezrazmikov"/>
        <w:rPr>
          <w:rFonts w:ascii="Arial" w:hAnsi="Arial" w:cs="Arial"/>
          <w:i/>
        </w:rPr>
      </w:pPr>
    </w:p>
    <w:p w:rsidR="00CB3DD5" w:rsidRPr="0055727F" w:rsidRDefault="00CB3DD5" w:rsidP="0055727F">
      <w:pPr>
        <w:pStyle w:val="Brezrazmikov"/>
        <w:jc w:val="both"/>
        <w:rPr>
          <w:rFonts w:ascii="Arial" w:hAnsi="Arial" w:cs="Arial"/>
          <w:i/>
        </w:rPr>
      </w:pPr>
    </w:p>
    <w:p w:rsidR="00CB3DD5" w:rsidRPr="0055727F" w:rsidRDefault="00CB3DD5" w:rsidP="0055727F">
      <w:pPr>
        <w:pStyle w:val="Brezrazmikov"/>
        <w:jc w:val="both"/>
        <w:rPr>
          <w:rFonts w:ascii="Arial" w:hAnsi="Arial" w:cs="Arial"/>
          <w:i/>
        </w:rPr>
      </w:pPr>
      <w:r w:rsidRPr="0055727F">
        <w:rPr>
          <w:rFonts w:ascii="Arial" w:hAnsi="Arial" w:cs="Arial"/>
          <w:i/>
        </w:rPr>
        <w:t xml:space="preserve">Na podlagi </w:t>
      </w:r>
      <w:r w:rsidR="006C45B9">
        <w:rPr>
          <w:rFonts w:ascii="Arial" w:hAnsi="Arial" w:cs="Arial"/>
          <w:i/>
        </w:rPr>
        <w:t xml:space="preserve">7. člena Uredbe o plačah direktorjev v javnem sektorju </w:t>
      </w:r>
      <w:r w:rsidR="006C45B9" w:rsidRPr="006C45B9">
        <w:rPr>
          <w:rFonts w:ascii="Arial" w:hAnsi="Arial" w:cs="Arial"/>
          <w:i/>
        </w:rPr>
        <w:t>(Uradni list RS, št. 68/17, 4/18, 30/18, 116/21, 180/21,</w:t>
      </w:r>
      <w:r w:rsidR="006C45B9">
        <w:rPr>
          <w:rFonts w:ascii="Arial" w:hAnsi="Arial" w:cs="Arial"/>
          <w:i/>
        </w:rPr>
        <w:t xml:space="preserve"> 29/22, 89/22, 112/22 in 25/23) in </w:t>
      </w:r>
      <w:r w:rsidRPr="0055727F">
        <w:rPr>
          <w:rFonts w:ascii="Arial" w:hAnsi="Arial" w:cs="Arial"/>
          <w:i/>
        </w:rPr>
        <w:t>16. člena Statuta Občine Komen (Uradni list RS, št. 80/09</w:t>
      </w:r>
      <w:r w:rsidR="005A7E56" w:rsidRPr="0055727F">
        <w:rPr>
          <w:rFonts w:ascii="Arial" w:hAnsi="Arial" w:cs="Arial"/>
          <w:i/>
        </w:rPr>
        <w:t>, 39/14</w:t>
      </w:r>
      <w:r w:rsidR="00F038F3">
        <w:rPr>
          <w:rFonts w:ascii="Arial" w:hAnsi="Arial" w:cs="Arial"/>
          <w:i/>
        </w:rPr>
        <w:t>, 39/16</w:t>
      </w:r>
      <w:r w:rsidRPr="0055727F">
        <w:rPr>
          <w:rFonts w:ascii="Arial" w:hAnsi="Arial" w:cs="Arial"/>
          <w:i/>
        </w:rPr>
        <w:t xml:space="preserve">) je </w:t>
      </w:r>
      <w:r w:rsidR="00F038F3">
        <w:rPr>
          <w:rFonts w:ascii="Arial" w:hAnsi="Arial" w:cs="Arial"/>
          <w:i/>
        </w:rPr>
        <w:t>občinski svet O</w:t>
      </w:r>
      <w:r w:rsidRPr="0055727F">
        <w:rPr>
          <w:rFonts w:ascii="Arial" w:hAnsi="Arial" w:cs="Arial"/>
          <w:i/>
        </w:rPr>
        <w:t>bčine Komen na svoji . redni seji, dne</w:t>
      </w:r>
      <w:r w:rsidR="00F038F3">
        <w:rPr>
          <w:rFonts w:ascii="Arial" w:hAnsi="Arial" w:cs="Arial"/>
          <w:i/>
        </w:rPr>
        <w:t xml:space="preserve"> </w:t>
      </w:r>
      <w:r w:rsidRPr="0055727F">
        <w:rPr>
          <w:rFonts w:ascii="Arial" w:hAnsi="Arial" w:cs="Arial"/>
          <w:i/>
        </w:rPr>
        <w:t xml:space="preserve">---------- sprejel naslednji </w:t>
      </w:r>
    </w:p>
    <w:p w:rsidR="00CB3DD5" w:rsidRPr="0055727F" w:rsidRDefault="00CB3DD5" w:rsidP="0055727F">
      <w:pPr>
        <w:pStyle w:val="Brezrazmikov"/>
        <w:rPr>
          <w:rFonts w:ascii="Arial" w:hAnsi="Arial" w:cs="Arial"/>
          <w:i/>
        </w:rPr>
      </w:pPr>
    </w:p>
    <w:p w:rsidR="00CB3DD5" w:rsidRPr="0055727F" w:rsidRDefault="00CB3DD5" w:rsidP="0055727F">
      <w:pPr>
        <w:pStyle w:val="Brezrazmikov"/>
        <w:jc w:val="center"/>
        <w:rPr>
          <w:rFonts w:ascii="Arial" w:hAnsi="Arial" w:cs="Arial"/>
          <w:b/>
          <w:i/>
          <w:spacing w:val="100"/>
        </w:rPr>
      </w:pPr>
      <w:r w:rsidRPr="0055727F">
        <w:rPr>
          <w:rFonts w:ascii="Arial" w:hAnsi="Arial" w:cs="Arial"/>
          <w:b/>
          <w:i/>
          <w:spacing w:val="100"/>
        </w:rPr>
        <w:t>SKLEP</w:t>
      </w:r>
    </w:p>
    <w:p w:rsidR="00CB3DD5" w:rsidRPr="0055727F" w:rsidRDefault="00CB3DD5" w:rsidP="0055727F">
      <w:pPr>
        <w:pStyle w:val="Brezrazmikov"/>
        <w:rPr>
          <w:rFonts w:ascii="Arial" w:hAnsi="Arial" w:cs="Arial"/>
          <w:i/>
        </w:rPr>
      </w:pPr>
    </w:p>
    <w:p w:rsidR="00CB3DD5" w:rsidRPr="0055727F" w:rsidRDefault="00CB3DD5" w:rsidP="0055727F">
      <w:pPr>
        <w:pStyle w:val="Brezrazmikov"/>
        <w:rPr>
          <w:rFonts w:ascii="Arial" w:hAnsi="Arial" w:cs="Arial"/>
          <w:i/>
        </w:rPr>
      </w:pPr>
    </w:p>
    <w:p w:rsidR="00CB3DD5" w:rsidRPr="0055727F" w:rsidRDefault="00CB3DD5" w:rsidP="0055727F">
      <w:pPr>
        <w:pStyle w:val="Brezrazmikov"/>
        <w:jc w:val="center"/>
        <w:rPr>
          <w:rFonts w:ascii="Arial" w:hAnsi="Arial" w:cs="Arial"/>
          <w:i/>
        </w:rPr>
      </w:pPr>
      <w:r w:rsidRPr="0055727F">
        <w:rPr>
          <w:rFonts w:ascii="Arial" w:hAnsi="Arial" w:cs="Arial"/>
          <w:i/>
        </w:rPr>
        <w:t>1.</w:t>
      </w:r>
    </w:p>
    <w:p w:rsidR="006C45B9" w:rsidRDefault="006C45B9" w:rsidP="006C45B9">
      <w:pPr>
        <w:pStyle w:val="Brezrazmikov"/>
        <w:jc w:val="both"/>
        <w:rPr>
          <w:rFonts w:ascii="Arial" w:hAnsi="Arial" w:cs="Arial"/>
          <w:i/>
        </w:rPr>
      </w:pPr>
    </w:p>
    <w:p w:rsidR="0055727F" w:rsidRDefault="006C45B9" w:rsidP="006C45B9">
      <w:pPr>
        <w:pStyle w:val="Brezrazmikov"/>
        <w:jc w:val="both"/>
        <w:rPr>
          <w:rFonts w:ascii="Arial" w:hAnsi="Arial" w:cs="Arial"/>
          <w:i/>
        </w:rPr>
      </w:pPr>
      <w:r>
        <w:rPr>
          <w:rFonts w:ascii="Arial" w:hAnsi="Arial" w:cs="Arial"/>
          <w:i/>
        </w:rPr>
        <w:t>Občinski svet Občine Komen se je seznanil z določitvijo redne delovne uspešnosti direktorja – poveljnika ZGRS Sežana Blaža Turka s strani sveta zavoda ZGRS Sežana na 2. redni seji dne 23. 2. 2023 (zapisnik št. 50/2023) na podlagi meril iz Pravilnika</w:t>
      </w:r>
      <w:r w:rsidRPr="006C45B9">
        <w:rPr>
          <w:rFonts w:ascii="Arial" w:hAnsi="Arial" w:cs="Arial"/>
          <w:i/>
        </w:rPr>
        <w:t xml:space="preserve"> o merilih za ugotavljanje delovne uspešnosti direktorjev na področju gasilsko reševalne de</w:t>
      </w:r>
      <w:r>
        <w:rPr>
          <w:rFonts w:ascii="Arial" w:hAnsi="Arial" w:cs="Arial"/>
          <w:i/>
        </w:rPr>
        <w:t>javnosti (Uradni list RS 28/06).</w:t>
      </w:r>
    </w:p>
    <w:p w:rsidR="006C45B9" w:rsidRDefault="006C45B9" w:rsidP="0055727F">
      <w:pPr>
        <w:pStyle w:val="Brezrazmikov"/>
        <w:rPr>
          <w:rFonts w:ascii="Arial" w:hAnsi="Arial" w:cs="Arial"/>
          <w:i/>
        </w:rPr>
      </w:pPr>
    </w:p>
    <w:p w:rsidR="00CB3DD5" w:rsidRPr="0055727F" w:rsidRDefault="00CB3DD5" w:rsidP="0055727F">
      <w:pPr>
        <w:pStyle w:val="Brezrazmikov"/>
        <w:jc w:val="center"/>
        <w:rPr>
          <w:rFonts w:ascii="Arial" w:hAnsi="Arial" w:cs="Arial"/>
          <w:i/>
        </w:rPr>
      </w:pPr>
      <w:r w:rsidRPr="0055727F">
        <w:rPr>
          <w:rFonts w:ascii="Arial" w:hAnsi="Arial" w:cs="Arial"/>
          <w:i/>
        </w:rPr>
        <w:t>2.</w:t>
      </w:r>
    </w:p>
    <w:p w:rsidR="005A7E56" w:rsidRPr="0055727F" w:rsidRDefault="005A7E56" w:rsidP="0055727F">
      <w:pPr>
        <w:pStyle w:val="Brezrazmikov"/>
        <w:rPr>
          <w:rFonts w:ascii="Arial" w:hAnsi="Arial" w:cs="Arial"/>
          <w:i/>
        </w:rPr>
      </w:pPr>
    </w:p>
    <w:p w:rsidR="005A7E56" w:rsidRPr="0055727F" w:rsidRDefault="006C45B9" w:rsidP="006C45B9">
      <w:pPr>
        <w:pStyle w:val="Brezrazmikov"/>
        <w:jc w:val="both"/>
        <w:rPr>
          <w:rFonts w:ascii="Arial" w:hAnsi="Arial" w:cs="Arial"/>
          <w:i/>
        </w:rPr>
      </w:pPr>
      <w:r>
        <w:rPr>
          <w:rFonts w:ascii="Arial" w:hAnsi="Arial" w:cs="Arial"/>
          <w:i/>
        </w:rPr>
        <w:t>Občinski svet Občine Komen daje soglasje, da se direktorju – poveljniku Zavoda za gasilno in reševalno službo Sežana Blažu Turku, izplača del plače za redno delovno uspešnost</w:t>
      </w:r>
      <w:r w:rsidR="000E4A7B">
        <w:rPr>
          <w:rFonts w:ascii="Arial" w:hAnsi="Arial" w:cs="Arial"/>
          <w:i/>
        </w:rPr>
        <w:t xml:space="preserve"> za leto 2022</w:t>
      </w:r>
      <w:r>
        <w:rPr>
          <w:rFonts w:ascii="Arial" w:hAnsi="Arial" w:cs="Arial"/>
          <w:i/>
        </w:rPr>
        <w:t xml:space="preserve"> v višini 5% letne mase njegove osnovne plače.</w:t>
      </w:r>
    </w:p>
    <w:p w:rsidR="005A7E56" w:rsidRPr="0055727F" w:rsidRDefault="005A7E56" w:rsidP="0055727F">
      <w:pPr>
        <w:pStyle w:val="Brezrazmikov"/>
        <w:rPr>
          <w:rFonts w:ascii="Arial" w:hAnsi="Arial" w:cs="Arial"/>
          <w:i/>
        </w:rPr>
      </w:pPr>
    </w:p>
    <w:p w:rsidR="005A7E56" w:rsidRPr="0055727F" w:rsidRDefault="005A7E56" w:rsidP="0055727F">
      <w:pPr>
        <w:pStyle w:val="Brezrazmikov"/>
        <w:jc w:val="center"/>
        <w:rPr>
          <w:rFonts w:ascii="Arial" w:hAnsi="Arial" w:cs="Arial"/>
          <w:i/>
        </w:rPr>
      </w:pPr>
      <w:r w:rsidRPr="0055727F">
        <w:rPr>
          <w:rFonts w:ascii="Arial" w:hAnsi="Arial" w:cs="Arial"/>
          <w:i/>
        </w:rPr>
        <w:t>3.</w:t>
      </w:r>
    </w:p>
    <w:p w:rsidR="005A7E56" w:rsidRPr="0055727F" w:rsidRDefault="005A7E56" w:rsidP="0055727F">
      <w:pPr>
        <w:pStyle w:val="Brezrazmikov"/>
        <w:rPr>
          <w:rFonts w:ascii="Arial" w:hAnsi="Arial" w:cs="Arial"/>
          <w:i/>
        </w:rPr>
      </w:pPr>
    </w:p>
    <w:p w:rsidR="00CB3DD5" w:rsidRPr="0055727F" w:rsidRDefault="00CB3DD5" w:rsidP="0055727F">
      <w:pPr>
        <w:pStyle w:val="Brezrazmikov"/>
        <w:rPr>
          <w:rFonts w:ascii="Arial" w:hAnsi="Arial" w:cs="Arial"/>
          <w:i/>
        </w:rPr>
      </w:pPr>
      <w:r w:rsidRPr="0055727F">
        <w:rPr>
          <w:rFonts w:ascii="Arial" w:hAnsi="Arial" w:cs="Arial"/>
          <w:i/>
        </w:rPr>
        <w:t>Ta sklep prične veljati takoj.</w:t>
      </w:r>
    </w:p>
    <w:p w:rsidR="00CB3DD5" w:rsidRPr="0055727F" w:rsidRDefault="00CB3DD5" w:rsidP="0055727F">
      <w:pPr>
        <w:pStyle w:val="Brezrazmikov"/>
        <w:rPr>
          <w:rFonts w:ascii="Arial" w:hAnsi="Arial" w:cs="Arial"/>
          <w:i/>
        </w:rPr>
      </w:pPr>
    </w:p>
    <w:p w:rsidR="00CB3DD5" w:rsidRPr="0055727F" w:rsidRDefault="00CB3DD5" w:rsidP="0055727F">
      <w:pPr>
        <w:pStyle w:val="Brezrazmikov"/>
        <w:rPr>
          <w:rFonts w:ascii="Arial" w:hAnsi="Arial" w:cs="Arial"/>
          <w:i/>
        </w:rPr>
      </w:pPr>
    </w:p>
    <w:p w:rsidR="00F038F3" w:rsidRPr="0055727F" w:rsidRDefault="00CB3DD5" w:rsidP="0055727F">
      <w:pPr>
        <w:pStyle w:val="Brezrazmikov"/>
        <w:rPr>
          <w:rFonts w:ascii="Arial" w:hAnsi="Arial" w:cs="Arial"/>
          <w:i/>
        </w:rPr>
      </w:pPr>
      <w:r w:rsidRPr="0055727F">
        <w:rPr>
          <w:rFonts w:ascii="Arial" w:hAnsi="Arial" w:cs="Arial"/>
          <w:i/>
        </w:rPr>
        <w:tab/>
      </w:r>
      <w:r w:rsidRPr="0055727F">
        <w:rPr>
          <w:rFonts w:ascii="Arial" w:hAnsi="Arial" w:cs="Arial"/>
          <w:i/>
        </w:rPr>
        <w:tab/>
      </w:r>
      <w:r w:rsidRPr="0055727F">
        <w:rPr>
          <w:rFonts w:ascii="Arial" w:hAnsi="Arial" w:cs="Arial"/>
          <w:i/>
        </w:rPr>
        <w:tab/>
      </w:r>
      <w:r w:rsidRPr="0055727F">
        <w:rPr>
          <w:rFonts w:ascii="Arial" w:hAnsi="Arial" w:cs="Arial"/>
          <w:i/>
        </w:rPr>
        <w:tab/>
      </w:r>
      <w:r w:rsidRPr="0055727F">
        <w:rPr>
          <w:rFonts w:ascii="Arial" w:hAnsi="Arial" w:cs="Arial"/>
          <w:i/>
        </w:rPr>
        <w:tab/>
      </w:r>
      <w:r w:rsidRPr="0055727F">
        <w:rPr>
          <w:rFonts w:ascii="Arial" w:hAnsi="Arial" w:cs="Arial"/>
          <w:i/>
        </w:rPr>
        <w:tab/>
      </w:r>
      <w:r w:rsidRPr="0055727F">
        <w:rPr>
          <w:rFonts w:ascii="Arial" w:hAnsi="Arial" w:cs="Arial"/>
          <w:i/>
        </w:rPr>
        <w:tab/>
      </w:r>
      <w:r w:rsidRPr="0055727F">
        <w:rPr>
          <w:rFonts w:ascii="Arial" w:hAnsi="Arial" w:cs="Arial"/>
          <w:i/>
        </w:rPr>
        <w:tab/>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038F3" w:rsidTr="00F038F3">
        <w:tc>
          <w:tcPr>
            <w:tcW w:w="4606" w:type="dxa"/>
          </w:tcPr>
          <w:p w:rsidR="00F038F3" w:rsidRDefault="00F038F3" w:rsidP="0055727F">
            <w:pPr>
              <w:pStyle w:val="Brezrazmikov"/>
              <w:rPr>
                <w:rFonts w:ascii="Arial" w:hAnsi="Arial" w:cs="Arial"/>
                <w:i/>
              </w:rPr>
            </w:pPr>
          </w:p>
        </w:tc>
        <w:tc>
          <w:tcPr>
            <w:tcW w:w="4606" w:type="dxa"/>
          </w:tcPr>
          <w:p w:rsidR="00F038F3" w:rsidRPr="00F038F3" w:rsidRDefault="00F038F3" w:rsidP="00F038F3">
            <w:pPr>
              <w:pStyle w:val="Brezrazmikov"/>
              <w:jc w:val="center"/>
              <w:rPr>
                <w:rFonts w:ascii="Arial" w:hAnsi="Arial" w:cs="Arial"/>
                <w:b/>
                <w:i/>
              </w:rPr>
            </w:pPr>
            <w:r w:rsidRPr="00F038F3">
              <w:rPr>
                <w:rFonts w:ascii="Arial" w:hAnsi="Arial" w:cs="Arial"/>
                <w:b/>
                <w:i/>
              </w:rPr>
              <w:t>Mag. Erik Modic, župan</w:t>
            </w:r>
          </w:p>
        </w:tc>
      </w:tr>
    </w:tbl>
    <w:p w:rsidR="00CB3DD5" w:rsidRPr="0055727F" w:rsidRDefault="00CB3DD5" w:rsidP="0055727F">
      <w:pPr>
        <w:pStyle w:val="Brezrazmikov"/>
        <w:rPr>
          <w:rFonts w:ascii="Arial" w:hAnsi="Arial" w:cs="Arial"/>
          <w:i/>
        </w:rPr>
      </w:pPr>
    </w:p>
    <w:p w:rsidR="00CB3DD5" w:rsidRDefault="00CB3DD5" w:rsidP="0055727F">
      <w:pPr>
        <w:pStyle w:val="Brezrazmikov"/>
        <w:rPr>
          <w:rFonts w:ascii="Arial" w:hAnsi="Arial" w:cs="Arial"/>
          <w:i/>
        </w:rPr>
      </w:pPr>
    </w:p>
    <w:p w:rsidR="00F038F3" w:rsidRDefault="00F038F3" w:rsidP="0055727F">
      <w:pPr>
        <w:pStyle w:val="Brezrazmikov"/>
        <w:rPr>
          <w:rFonts w:ascii="Arial" w:hAnsi="Arial" w:cs="Arial"/>
          <w:i/>
        </w:rPr>
      </w:pPr>
    </w:p>
    <w:p w:rsidR="00F038F3" w:rsidRPr="0055727F" w:rsidRDefault="00F038F3" w:rsidP="0055727F">
      <w:pPr>
        <w:pStyle w:val="Brezrazmikov"/>
        <w:rPr>
          <w:rFonts w:ascii="Arial" w:hAnsi="Arial" w:cs="Arial"/>
          <w:i/>
        </w:rPr>
      </w:pPr>
    </w:p>
    <w:p w:rsidR="00CB3DD5" w:rsidRPr="0055727F" w:rsidRDefault="00CB3DD5" w:rsidP="0055727F">
      <w:pPr>
        <w:pStyle w:val="Brezrazmikov"/>
        <w:rPr>
          <w:rFonts w:ascii="Arial" w:hAnsi="Arial" w:cs="Arial"/>
          <w:i/>
        </w:rPr>
      </w:pPr>
    </w:p>
    <w:p w:rsidR="00CB3DD5" w:rsidRPr="006861D7" w:rsidRDefault="00F038F3" w:rsidP="0055727F">
      <w:pPr>
        <w:pStyle w:val="Brezrazmikov"/>
        <w:rPr>
          <w:rFonts w:ascii="Arial" w:hAnsi="Arial" w:cs="Arial"/>
          <w:i/>
          <w:sz w:val="20"/>
          <w:szCs w:val="20"/>
        </w:rPr>
      </w:pPr>
      <w:r>
        <w:rPr>
          <w:rFonts w:ascii="Arial" w:hAnsi="Arial" w:cs="Arial"/>
          <w:i/>
          <w:sz w:val="20"/>
          <w:szCs w:val="20"/>
        </w:rPr>
        <w:t>Vročiti:</w:t>
      </w:r>
    </w:p>
    <w:p w:rsidR="00CB3DD5" w:rsidRPr="006861D7" w:rsidRDefault="00D50CC2" w:rsidP="006861D7">
      <w:pPr>
        <w:pStyle w:val="Brezrazmikov"/>
        <w:numPr>
          <w:ilvl w:val="0"/>
          <w:numId w:val="5"/>
        </w:numPr>
        <w:rPr>
          <w:rFonts w:ascii="Arial" w:hAnsi="Arial" w:cs="Arial"/>
          <w:i/>
          <w:sz w:val="20"/>
          <w:szCs w:val="20"/>
        </w:rPr>
      </w:pPr>
      <w:r>
        <w:rPr>
          <w:rFonts w:ascii="Arial" w:hAnsi="Arial" w:cs="Arial"/>
          <w:i/>
          <w:sz w:val="20"/>
          <w:szCs w:val="20"/>
        </w:rPr>
        <w:t>Zavod za gasilno in reševalno službo Sežana</w:t>
      </w:r>
      <w:r w:rsidR="00F038F3">
        <w:rPr>
          <w:rFonts w:ascii="Arial" w:hAnsi="Arial" w:cs="Arial"/>
          <w:i/>
          <w:sz w:val="20"/>
          <w:szCs w:val="20"/>
        </w:rPr>
        <w:t xml:space="preserve"> (po </w:t>
      </w:r>
      <w:r>
        <w:rPr>
          <w:rFonts w:ascii="Arial" w:hAnsi="Arial" w:cs="Arial"/>
          <w:i/>
          <w:sz w:val="20"/>
          <w:szCs w:val="20"/>
        </w:rPr>
        <w:t>e-</w:t>
      </w:r>
      <w:r w:rsidR="00F038F3">
        <w:rPr>
          <w:rFonts w:ascii="Arial" w:hAnsi="Arial" w:cs="Arial"/>
          <w:i/>
          <w:sz w:val="20"/>
          <w:szCs w:val="20"/>
        </w:rPr>
        <w:t>pošti</w:t>
      </w:r>
      <w:r>
        <w:rPr>
          <w:rFonts w:ascii="Arial" w:hAnsi="Arial" w:cs="Arial"/>
          <w:i/>
          <w:sz w:val="20"/>
          <w:szCs w:val="20"/>
        </w:rPr>
        <w:t xml:space="preserve"> navadno: blaz.turk@zgrs.si)</w:t>
      </w:r>
    </w:p>
    <w:p w:rsidR="00CB3DD5" w:rsidRPr="0055727F" w:rsidRDefault="00CB3DD5" w:rsidP="0055727F">
      <w:pPr>
        <w:pStyle w:val="Brezrazmikov"/>
        <w:rPr>
          <w:rFonts w:ascii="Arial" w:hAnsi="Arial" w:cs="Arial"/>
        </w:rPr>
      </w:pPr>
    </w:p>
    <w:p w:rsidR="00CB3DD5" w:rsidRPr="0055727F" w:rsidRDefault="00CB3DD5" w:rsidP="0055727F">
      <w:pPr>
        <w:pStyle w:val="Brezrazmikov"/>
        <w:rPr>
          <w:rFonts w:ascii="Arial" w:hAnsi="Arial" w:cs="Arial"/>
        </w:rPr>
      </w:pPr>
    </w:p>
    <w:p w:rsidR="005B462D" w:rsidRDefault="005B462D" w:rsidP="0055727F">
      <w:pPr>
        <w:pStyle w:val="Brezrazmikov"/>
        <w:rPr>
          <w:rFonts w:ascii="Arial" w:hAnsi="Arial" w:cs="Arial"/>
        </w:rPr>
      </w:pPr>
    </w:p>
    <w:p w:rsidR="00F038F3" w:rsidRDefault="00F038F3" w:rsidP="0055727F">
      <w:pPr>
        <w:pStyle w:val="Brezrazmikov"/>
        <w:rPr>
          <w:rFonts w:ascii="Arial" w:hAnsi="Arial" w:cs="Arial"/>
        </w:rPr>
      </w:pPr>
    </w:p>
    <w:p w:rsidR="00146A20" w:rsidRDefault="00146A20" w:rsidP="0055727F">
      <w:pPr>
        <w:pStyle w:val="Brezrazmikov"/>
        <w:rPr>
          <w:rFonts w:ascii="Arial" w:hAnsi="Arial" w:cs="Arial"/>
        </w:rPr>
      </w:pPr>
    </w:p>
    <w:sectPr w:rsidR="00146A20" w:rsidSect="00C11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314ED"/>
    <w:multiLevelType w:val="hybridMultilevel"/>
    <w:tmpl w:val="ECDEA462"/>
    <w:lvl w:ilvl="0" w:tplc="52D66C5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4E4688"/>
    <w:multiLevelType w:val="hybridMultilevel"/>
    <w:tmpl w:val="07A008DA"/>
    <w:lvl w:ilvl="0" w:tplc="2138CA8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35C35E9"/>
    <w:multiLevelType w:val="hybridMultilevel"/>
    <w:tmpl w:val="E4CCE3D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53C915B3"/>
    <w:multiLevelType w:val="hybridMultilevel"/>
    <w:tmpl w:val="486CE574"/>
    <w:lvl w:ilvl="0" w:tplc="5B1A8EB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7A75C1C"/>
    <w:multiLevelType w:val="hybridMultilevel"/>
    <w:tmpl w:val="AFCC9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5362004"/>
    <w:multiLevelType w:val="hybridMultilevel"/>
    <w:tmpl w:val="E1A87196"/>
    <w:lvl w:ilvl="0" w:tplc="5B1A8EB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B3DD5"/>
    <w:rsid w:val="00045E6B"/>
    <w:rsid w:val="0006481D"/>
    <w:rsid w:val="00097EF2"/>
    <w:rsid w:val="000C4642"/>
    <w:rsid w:val="000E4A7B"/>
    <w:rsid w:val="00146A20"/>
    <w:rsid w:val="0029781B"/>
    <w:rsid w:val="003F3A71"/>
    <w:rsid w:val="00426795"/>
    <w:rsid w:val="00466CDD"/>
    <w:rsid w:val="00481C4A"/>
    <w:rsid w:val="004C37FA"/>
    <w:rsid w:val="005275FE"/>
    <w:rsid w:val="0055727F"/>
    <w:rsid w:val="005A7E56"/>
    <w:rsid w:val="005B462D"/>
    <w:rsid w:val="00635B3D"/>
    <w:rsid w:val="00667361"/>
    <w:rsid w:val="006861D7"/>
    <w:rsid w:val="006C45B9"/>
    <w:rsid w:val="00702B64"/>
    <w:rsid w:val="00730680"/>
    <w:rsid w:val="00772A68"/>
    <w:rsid w:val="007B430A"/>
    <w:rsid w:val="009C11B9"/>
    <w:rsid w:val="00A33CBD"/>
    <w:rsid w:val="00A9701E"/>
    <w:rsid w:val="00AF16C8"/>
    <w:rsid w:val="00B45527"/>
    <w:rsid w:val="00BB093F"/>
    <w:rsid w:val="00C11108"/>
    <w:rsid w:val="00CB3DD5"/>
    <w:rsid w:val="00D405E8"/>
    <w:rsid w:val="00D50CC2"/>
    <w:rsid w:val="00DA11FB"/>
    <w:rsid w:val="00DB4E18"/>
    <w:rsid w:val="00DD74FA"/>
    <w:rsid w:val="00E714F3"/>
    <w:rsid w:val="00F038F3"/>
    <w:rsid w:val="00F810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47FF6-AFD9-4283-B5CC-668D650F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B3DD5"/>
    <w:pPr>
      <w:spacing w:after="120" w:line="240" w:lineRule="auto"/>
      <w:jc w:val="center"/>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B3DD5"/>
    <w:pPr>
      <w:spacing w:after="0" w:line="240" w:lineRule="auto"/>
    </w:pPr>
  </w:style>
  <w:style w:type="table" w:styleId="Tabelamrea">
    <w:name w:val="Table Grid"/>
    <w:basedOn w:val="Navadnatabela"/>
    <w:uiPriority w:val="59"/>
    <w:rsid w:val="00CB3D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CB3DD5"/>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3DD5"/>
    <w:rPr>
      <w:rFonts w:ascii="Tahoma" w:eastAsia="Calibri" w:hAnsi="Tahoma" w:cs="Tahoma"/>
      <w:sz w:val="16"/>
      <w:szCs w:val="16"/>
    </w:rPr>
  </w:style>
  <w:style w:type="character" w:styleId="Hiperpovezava">
    <w:name w:val="Hyperlink"/>
    <w:basedOn w:val="Privzetapisavaodstavka"/>
    <w:uiPriority w:val="99"/>
    <w:unhideWhenUsed/>
    <w:rsid w:val="00A33CBD"/>
    <w:rPr>
      <w:color w:val="0000FF" w:themeColor="hyperlink"/>
      <w:u w:val="single"/>
    </w:rPr>
  </w:style>
  <w:style w:type="paragraph" w:customStyle="1" w:styleId="odstavek">
    <w:name w:val="odstavek"/>
    <w:basedOn w:val="Navaden"/>
    <w:rsid w:val="00DB4E18"/>
    <w:pPr>
      <w:spacing w:before="100" w:beforeAutospacing="1" w:after="100" w:afterAutospacing="1"/>
      <w:jc w:val="left"/>
    </w:pPr>
    <w:rPr>
      <w:rFonts w:ascii="Times New Roman" w:eastAsia="Times New Roman" w:hAnsi="Times New Roman"/>
      <w:sz w:val="24"/>
      <w:szCs w:val="24"/>
      <w:lang w:eastAsia="sl-SI"/>
    </w:rPr>
  </w:style>
  <w:style w:type="paragraph" w:customStyle="1" w:styleId="tevilnatoka">
    <w:name w:val="tevilnatoka"/>
    <w:basedOn w:val="Navaden"/>
    <w:rsid w:val="006C45B9"/>
    <w:pPr>
      <w:spacing w:before="100" w:beforeAutospacing="1" w:after="100" w:afterAutospacing="1"/>
      <w:jc w:val="left"/>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730172">
      <w:bodyDiv w:val="1"/>
      <w:marLeft w:val="0"/>
      <w:marRight w:val="0"/>
      <w:marTop w:val="0"/>
      <w:marBottom w:val="0"/>
      <w:divBdr>
        <w:top w:val="none" w:sz="0" w:space="0" w:color="auto"/>
        <w:left w:val="none" w:sz="0" w:space="0" w:color="auto"/>
        <w:bottom w:val="none" w:sz="0" w:space="0" w:color="auto"/>
        <w:right w:val="none" w:sz="0" w:space="0" w:color="auto"/>
      </w:divBdr>
    </w:div>
    <w:div w:id="1503088699">
      <w:bodyDiv w:val="1"/>
      <w:marLeft w:val="0"/>
      <w:marRight w:val="0"/>
      <w:marTop w:val="0"/>
      <w:marBottom w:val="0"/>
      <w:divBdr>
        <w:top w:val="none" w:sz="0" w:space="0" w:color="auto"/>
        <w:left w:val="none" w:sz="0" w:space="0" w:color="auto"/>
        <w:bottom w:val="none" w:sz="0" w:space="0" w:color="auto"/>
        <w:right w:val="none" w:sz="0" w:space="0" w:color="auto"/>
      </w:divBdr>
    </w:div>
    <w:div w:id="1738479573">
      <w:bodyDiv w:val="1"/>
      <w:marLeft w:val="0"/>
      <w:marRight w:val="0"/>
      <w:marTop w:val="0"/>
      <w:marBottom w:val="0"/>
      <w:divBdr>
        <w:top w:val="none" w:sz="0" w:space="0" w:color="auto"/>
        <w:left w:val="none" w:sz="0" w:space="0" w:color="auto"/>
        <w:bottom w:val="none" w:sz="0" w:space="0" w:color="auto"/>
        <w:right w:val="none" w:sz="0" w:space="0" w:color="auto"/>
      </w:divBdr>
    </w:div>
    <w:div w:id="21246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964</Words>
  <Characters>5495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Obcina Komen</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Andreja Štok</cp:lastModifiedBy>
  <cp:revision>30</cp:revision>
  <cp:lastPrinted>2023-03-15T12:49:00Z</cp:lastPrinted>
  <dcterms:created xsi:type="dcterms:W3CDTF">2010-11-24T15:54:00Z</dcterms:created>
  <dcterms:modified xsi:type="dcterms:W3CDTF">2023-03-15T12:50:00Z</dcterms:modified>
</cp:coreProperties>
</file>